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5B10" w:rsidRDefault="00000000">
      <w:pPr>
        <w:spacing w:before="240" w:after="240"/>
        <w:rPr>
          <w:b/>
        </w:rPr>
      </w:pPr>
      <w:r>
        <w:rPr>
          <w:b/>
          <w:sz w:val="24"/>
          <w:szCs w:val="24"/>
        </w:rPr>
        <w:t>Practitioner Research Guidelines</w:t>
      </w:r>
    </w:p>
    <w:p w14:paraId="00000002" w14:textId="77777777" w:rsidR="008A5B10" w:rsidRDefault="00000000">
      <w:pPr>
        <w:rPr>
          <w:sz w:val="24"/>
          <w:szCs w:val="24"/>
        </w:rPr>
      </w:pPr>
      <w:r>
        <w:rPr>
          <w:sz w:val="24"/>
          <w:szCs w:val="24"/>
        </w:rPr>
        <w:t xml:space="preserve">The editors of </w:t>
      </w:r>
      <w:r>
        <w:rPr>
          <w:i/>
          <w:sz w:val="24"/>
          <w:szCs w:val="24"/>
        </w:rPr>
        <w:t>The Journal of Jewish Education</w:t>
      </w:r>
      <w:r>
        <w:rPr>
          <w:sz w:val="24"/>
          <w:szCs w:val="24"/>
        </w:rPr>
        <w:t xml:space="preserve"> are aware of the increased popularity of practitioner research in the Jewish education community and we believe that systematic studies of the individual’s unique experience can serve as an impetus for wider transformation in our understandings of Jewish education.</w:t>
      </w:r>
    </w:p>
    <w:p w14:paraId="00000003" w14:textId="77777777" w:rsidR="008A5B10" w:rsidRDefault="008A5B10">
      <w:pPr>
        <w:rPr>
          <w:sz w:val="24"/>
          <w:szCs w:val="24"/>
        </w:rPr>
      </w:pPr>
    </w:p>
    <w:p w14:paraId="00000004" w14:textId="77777777" w:rsidR="008A5B10" w:rsidRDefault="00000000">
      <w:pPr>
        <w:rPr>
          <w:sz w:val="24"/>
          <w:szCs w:val="24"/>
        </w:rPr>
      </w:pPr>
      <w:r>
        <w:rPr>
          <w:i/>
          <w:sz w:val="24"/>
          <w:szCs w:val="24"/>
        </w:rPr>
        <w:t>The Journal of Jewish Education</w:t>
      </w:r>
      <w:r>
        <w:rPr>
          <w:sz w:val="24"/>
          <w:szCs w:val="24"/>
        </w:rPr>
        <w:t xml:space="preserve"> is an academic journal that brings together scholarly work about the philosophy, sociology, history, theory and practice of Jewish education. We want to broaden the kinds of research we publish and, in the process, expand the readership of the Journal. At the same time, we want to maintain our commitment to rigorous and systematic investigations, no matter the genre. </w:t>
      </w:r>
    </w:p>
    <w:p w14:paraId="00000005" w14:textId="77777777" w:rsidR="008A5B10" w:rsidRDefault="008A5B10">
      <w:pPr>
        <w:rPr>
          <w:sz w:val="24"/>
          <w:szCs w:val="24"/>
        </w:rPr>
      </w:pPr>
    </w:p>
    <w:p w14:paraId="00000006" w14:textId="77777777" w:rsidR="008A5B10" w:rsidRDefault="00000000">
      <w:pPr>
        <w:rPr>
          <w:sz w:val="24"/>
          <w:szCs w:val="24"/>
        </w:rPr>
      </w:pPr>
      <w:r>
        <w:rPr>
          <w:sz w:val="24"/>
          <w:szCs w:val="24"/>
        </w:rPr>
        <w:t xml:space="preserve">The following guidelines have been developed to help guide practitioner-researchers in conducting and presenting their investigations, and peer reviewers in their evaluation of practitioner research journal articles. These guidelines should be read alongside the Instructions for Authors </w:t>
      </w:r>
      <w:hyperlink r:id="rId4" w:anchor="preparing-your-paper">
        <w:r>
          <w:rPr>
            <w:color w:val="1155CC"/>
            <w:sz w:val="24"/>
            <w:szCs w:val="24"/>
            <w:u w:val="single"/>
          </w:rPr>
          <w:t>general guidelines</w:t>
        </w:r>
      </w:hyperlink>
      <w:r>
        <w:rPr>
          <w:sz w:val="24"/>
          <w:szCs w:val="24"/>
        </w:rPr>
        <w:t xml:space="preserve"> that exist for all articles submitted to </w:t>
      </w:r>
      <w:r>
        <w:rPr>
          <w:i/>
          <w:sz w:val="24"/>
          <w:szCs w:val="24"/>
        </w:rPr>
        <w:t>The Journal of Jewish Education</w:t>
      </w:r>
      <w:r>
        <w:rPr>
          <w:sz w:val="24"/>
          <w:szCs w:val="24"/>
        </w:rPr>
        <w:t>.</w:t>
      </w:r>
    </w:p>
    <w:p w14:paraId="00000007" w14:textId="77777777" w:rsidR="008A5B10" w:rsidRDefault="008A5B10">
      <w:pPr>
        <w:rPr>
          <w:sz w:val="24"/>
          <w:szCs w:val="24"/>
        </w:rPr>
      </w:pPr>
    </w:p>
    <w:p w14:paraId="00000008" w14:textId="77777777" w:rsidR="008A5B10" w:rsidRDefault="00000000">
      <w:pPr>
        <w:rPr>
          <w:b/>
          <w:sz w:val="24"/>
          <w:szCs w:val="24"/>
        </w:rPr>
      </w:pPr>
      <w:r>
        <w:rPr>
          <w:b/>
          <w:sz w:val="24"/>
          <w:szCs w:val="24"/>
        </w:rPr>
        <w:t>What is practitioner research?</w:t>
      </w:r>
    </w:p>
    <w:p w14:paraId="00000009" w14:textId="77777777" w:rsidR="008A5B10" w:rsidRDefault="00000000">
      <w:pPr>
        <w:rPr>
          <w:sz w:val="24"/>
          <w:szCs w:val="24"/>
        </w:rPr>
      </w:pPr>
      <w:r>
        <w:rPr>
          <w:sz w:val="24"/>
          <w:szCs w:val="24"/>
        </w:rPr>
        <w:t>Practitioner research is a genre of research that is conducted by practitioner-researchers (</w:t>
      </w:r>
      <w:proofErr w:type="gramStart"/>
      <w:r>
        <w:rPr>
          <w:sz w:val="24"/>
          <w:szCs w:val="24"/>
        </w:rPr>
        <w:t>e.g.</w:t>
      </w:r>
      <w:proofErr w:type="gramEnd"/>
      <w:r>
        <w:rPr>
          <w:sz w:val="24"/>
          <w:szCs w:val="24"/>
        </w:rPr>
        <w:t xml:space="preserve"> rabbis, classroom teachers, higher-ed faculty, experiential educators) who are interested in researching questions, dilemmas, and observed phenomena in their professional practice. </w:t>
      </w:r>
    </w:p>
    <w:p w14:paraId="0000000A" w14:textId="77777777" w:rsidR="008A5B10" w:rsidRDefault="008A5B10">
      <w:pPr>
        <w:rPr>
          <w:sz w:val="24"/>
          <w:szCs w:val="24"/>
        </w:rPr>
      </w:pPr>
    </w:p>
    <w:p w14:paraId="0000000B" w14:textId="77777777" w:rsidR="008A5B10" w:rsidRDefault="00000000">
      <w:pPr>
        <w:rPr>
          <w:sz w:val="24"/>
          <w:szCs w:val="24"/>
        </w:rPr>
      </w:pPr>
      <w:r>
        <w:rPr>
          <w:sz w:val="24"/>
          <w:szCs w:val="24"/>
        </w:rPr>
        <w:t>Practitioner research is often small-scale but it generates evidence-based findings that support new understandings in teaching and learning that are of interest to other practitioners and to scholars.</w:t>
      </w:r>
    </w:p>
    <w:p w14:paraId="0000000C" w14:textId="77777777" w:rsidR="008A5B10" w:rsidRDefault="008A5B10">
      <w:pPr>
        <w:rPr>
          <w:b/>
          <w:sz w:val="24"/>
          <w:szCs w:val="24"/>
        </w:rPr>
      </w:pPr>
    </w:p>
    <w:p w14:paraId="0000000D" w14:textId="77777777" w:rsidR="008A5B10" w:rsidRDefault="00000000">
      <w:pPr>
        <w:rPr>
          <w:b/>
          <w:sz w:val="24"/>
          <w:szCs w:val="24"/>
        </w:rPr>
      </w:pPr>
      <w:r>
        <w:rPr>
          <w:b/>
          <w:sz w:val="24"/>
          <w:szCs w:val="24"/>
        </w:rPr>
        <w:t>What criteria are we using to evaluate the merits of a practitioner-research article?</w:t>
      </w:r>
    </w:p>
    <w:p w14:paraId="0000000E" w14:textId="77777777" w:rsidR="008A5B10" w:rsidRDefault="00000000">
      <w:pPr>
        <w:rPr>
          <w:i/>
          <w:sz w:val="24"/>
          <w:szCs w:val="24"/>
        </w:rPr>
      </w:pPr>
      <w:r>
        <w:rPr>
          <w:i/>
          <w:sz w:val="24"/>
          <w:szCs w:val="24"/>
        </w:rPr>
        <w:t xml:space="preserve">We encourage you to follow </w:t>
      </w:r>
      <w:hyperlink r:id="rId5" w:anchor="inbox/WhctKLbNCNrQltSnprSKqTTvVDbfnJZkXrtZLVtwsdcMVKNCGnMdSrtHZhLFWPnWdCQjJcV?projector=1&amp;messagePartId=0.1">
        <w:r>
          <w:rPr>
            <w:i/>
            <w:color w:val="1155CC"/>
            <w:sz w:val="24"/>
            <w:szCs w:val="24"/>
            <w:u w:val="single"/>
          </w:rPr>
          <w:t xml:space="preserve">this template </w:t>
        </w:r>
      </w:hyperlink>
      <w:r>
        <w:rPr>
          <w:i/>
          <w:sz w:val="24"/>
          <w:szCs w:val="24"/>
        </w:rPr>
        <w:t>when preparing your submission.</w:t>
      </w:r>
    </w:p>
    <w:p w14:paraId="0000000F" w14:textId="77777777" w:rsidR="008A5B10" w:rsidRDefault="008A5B10">
      <w:pPr>
        <w:rPr>
          <w:sz w:val="24"/>
          <w:szCs w:val="24"/>
        </w:rPr>
      </w:pPr>
    </w:p>
    <w:p w14:paraId="00000010" w14:textId="77777777" w:rsidR="008A5B10" w:rsidRDefault="00000000">
      <w:pPr>
        <w:rPr>
          <w:sz w:val="24"/>
          <w:szCs w:val="24"/>
        </w:rPr>
      </w:pPr>
      <w:r>
        <w:rPr>
          <w:sz w:val="24"/>
          <w:szCs w:val="24"/>
        </w:rPr>
        <w:t xml:space="preserve">Practitioner research in education begins with questions or dilemmas about teaching and learning. These initial dilemmas are then turned into research questions that guide the research study. These research questions or dilemmas must be explicitly identified early in the research article. </w:t>
      </w:r>
    </w:p>
    <w:p w14:paraId="00000011" w14:textId="77777777" w:rsidR="008A5B10" w:rsidRDefault="008A5B10">
      <w:pPr>
        <w:rPr>
          <w:sz w:val="24"/>
          <w:szCs w:val="24"/>
        </w:rPr>
      </w:pPr>
    </w:p>
    <w:p w14:paraId="00000012" w14:textId="77777777" w:rsidR="008A5B10" w:rsidRDefault="00000000">
      <w:pPr>
        <w:rPr>
          <w:sz w:val="24"/>
          <w:szCs w:val="24"/>
        </w:rPr>
      </w:pPr>
      <w:r>
        <w:rPr>
          <w:sz w:val="24"/>
          <w:szCs w:val="24"/>
        </w:rPr>
        <w:t xml:space="preserve">To resolve or answer the research questions, practitioner-researchers design and implement an empirical study. Both the methods of data collection and data analysis </w:t>
      </w:r>
      <w:r>
        <w:rPr>
          <w:sz w:val="24"/>
          <w:szCs w:val="24"/>
        </w:rPr>
        <w:lastRenderedPageBreak/>
        <w:t xml:space="preserve">must be explicitly described in the article. This helps orient the reader to the nature of the study and how it was conducted. </w:t>
      </w:r>
    </w:p>
    <w:p w14:paraId="00000013" w14:textId="77777777" w:rsidR="008A5B10" w:rsidRDefault="008A5B10">
      <w:pPr>
        <w:rPr>
          <w:sz w:val="24"/>
          <w:szCs w:val="24"/>
        </w:rPr>
      </w:pPr>
    </w:p>
    <w:p w14:paraId="00000014" w14:textId="77777777" w:rsidR="008A5B10" w:rsidRDefault="00000000">
      <w:pPr>
        <w:rPr>
          <w:sz w:val="24"/>
          <w:szCs w:val="24"/>
        </w:rPr>
      </w:pPr>
      <w:r>
        <w:rPr>
          <w:sz w:val="24"/>
          <w:szCs w:val="24"/>
        </w:rPr>
        <w:t xml:space="preserve">Practitioner-researchers must engage with scholarly literature. By reading and referencing the works of others, practitioner-researchers situate their work within a wider conversation about what they are seeking to learn about their own practice. </w:t>
      </w:r>
    </w:p>
    <w:p w14:paraId="00000015" w14:textId="77777777" w:rsidR="008A5B10" w:rsidRDefault="008A5B10">
      <w:pPr>
        <w:rPr>
          <w:sz w:val="24"/>
          <w:szCs w:val="24"/>
        </w:rPr>
      </w:pPr>
    </w:p>
    <w:p w14:paraId="00000016" w14:textId="77777777" w:rsidR="008A5B10" w:rsidRDefault="00000000">
      <w:pPr>
        <w:rPr>
          <w:sz w:val="24"/>
          <w:szCs w:val="24"/>
        </w:rPr>
      </w:pPr>
      <w:r>
        <w:rPr>
          <w:sz w:val="24"/>
          <w:szCs w:val="24"/>
        </w:rPr>
        <w:t xml:space="preserve">While practitioner research is designed to respond to the needs of the practitioner, high quality practitioner research also offers conclusions that go beyond the local and immediate and can inform the broader field of education. For </w:t>
      </w:r>
      <w:r>
        <w:rPr>
          <w:i/>
          <w:sz w:val="24"/>
          <w:szCs w:val="24"/>
        </w:rPr>
        <w:t>The Journal of Jewish Education</w:t>
      </w:r>
      <w:r>
        <w:rPr>
          <w:sz w:val="24"/>
          <w:szCs w:val="24"/>
        </w:rPr>
        <w:t>, this means that the article must make it clear why the scholarship matters to the field of Jewish education</w:t>
      </w:r>
    </w:p>
    <w:p w14:paraId="00000017" w14:textId="77777777" w:rsidR="008A5B10" w:rsidRDefault="008A5B10">
      <w:pPr>
        <w:rPr>
          <w:sz w:val="24"/>
          <w:szCs w:val="24"/>
        </w:rPr>
      </w:pPr>
    </w:p>
    <w:p w14:paraId="00000018" w14:textId="77777777" w:rsidR="008A5B10" w:rsidRDefault="00000000">
      <w:pPr>
        <w:rPr>
          <w:sz w:val="24"/>
          <w:szCs w:val="24"/>
        </w:rPr>
      </w:pPr>
      <w:r>
        <w:rPr>
          <w:sz w:val="24"/>
          <w:szCs w:val="24"/>
        </w:rPr>
        <w:t>Practitioner-researchers need to demonstrate that they have conducted a rigorous study of a question regarding their Jewish education practice. Traditionally this takes the form of a research paper/article. Practitioner-researchers writing in this style should structure their essay as follows:</w:t>
      </w:r>
    </w:p>
    <w:p w14:paraId="00000019" w14:textId="77777777" w:rsidR="008A5B10" w:rsidRDefault="008A5B10">
      <w:pPr>
        <w:rPr>
          <w:sz w:val="24"/>
          <w:szCs w:val="24"/>
        </w:rPr>
      </w:pPr>
    </w:p>
    <w:p w14:paraId="0000001A" w14:textId="77777777" w:rsidR="008A5B10" w:rsidRDefault="00000000">
      <w:pPr>
        <w:ind w:left="720"/>
        <w:rPr>
          <w:sz w:val="24"/>
          <w:szCs w:val="24"/>
        </w:rPr>
      </w:pPr>
      <w:r>
        <w:rPr>
          <w:sz w:val="24"/>
          <w:szCs w:val="24"/>
        </w:rPr>
        <w:t>Introduction</w:t>
      </w:r>
    </w:p>
    <w:p w14:paraId="0000001B" w14:textId="77777777" w:rsidR="008A5B10" w:rsidRDefault="00000000">
      <w:pPr>
        <w:ind w:left="720"/>
        <w:rPr>
          <w:sz w:val="24"/>
          <w:szCs w:val="24"/>
        </w:rPr>
      </w:pPr>
      <w:r>
        <w:rPr>
          <w:sz w:val="24"/>
          <w:szCs w:val="24"/>
        </w:rPr>
        <w:t>Literature Review</w:t>
      </w:r>
    </w:p>
    <w:p w14:paraId="0000001C" w14:textId="77777777" w:rsidR="008A5B10" w:rsidRDefault="00000000">
      <w:pPr>
        <w:ind w:left="720"/>
        <w:rPr>
          <w:sz w:val="24"/>
          <w:szCs w:val="24"/>
        </w:rPr>
      </w:pPr>
      <w:r>
        <w:rPr>
          <w:sz w:val="24"/>
          <w:szCs w:val="24"/>
        </w:rPr>
        <w:t>Methods</w:t>
      </w:r>
    </w:p>
    <w:p w14:paraId="0000001D" w14:textId="77777777" w:rsidR="008A5B10" w:rsidRDefault="00000000">
      <w:pPr>
        <w:ind w:left="720"/>
        <w:rPr>
          <w:sz w:val="24"/>
          <w:szCs w:val="24"/>
        </w:rPr>
      </w:pPr>
      <w:r>
        <w:rPr>
          <w:sz w:val="24"/>
          <w:szCs w:val="24"/>
        </w:rPr>
        <w:t>Findings</w:t>
      </w:r>
    </w:p>
    <w:p w14:paraId="0000001E" w14:textId="77777777" w:rsidR="008A5B10" w:rsidRDefault="00000000">
      <w:pPr>
        <w:ind w:left="720"/>
        <w:rPr>
          <w:sz w:val="24"/>
          <w:szCs w:val="24"/>
        </w:rPr>
      </w:pPr>
      <w:r>
        <w:rPr>
          <w:sz w:val="24"/>
          <w:szCs w:val="24"/>
        </w:rPr>
        <w:t>Discussion</w:t>
      </w:r>
    </w:p>
    <w:p w14:paraId="0000001F" w14:textId="77777777" w:rsidR="008A5B10" w:rsidRDefault="00000000">
      <w:pPr>
        <w:ind w:left="720"/>
        <w:rPr>
          <w:sz w:val="24"/>
          <w:szCs w:val="24"/>
        </w:rPr>
      </w:pPr>
      <w:r>
        <w:rPr>
          <w:sz w:val="24"/>
          <w:szCs w:val="24"/>
        </w:rPr>
        <w:t>Conclusion</w:t>
      </w:r>
    </w:p>
    <w:p w14:paraId="00000020" w14:textId="77777777" w:rsidR="008A5B10" w:rsidRDefault="008A5B10">
      <w:pPr>
        <w:rPr>
          <w:sz w:val="24"/>
          <w:szCs w:val="24"/>
        </w:rPr>
      </w:pPr>
    </w:p>
    <w:p w14:paraId="00000021" w14:textId="77777777" w:rsidR="008A5B10" w:rsidRDefault="00000000">
      <w:pPr>
        <w:rPr>
          <w:sz w:val="24"/>
          <w:szCs w:val="24"/>
        </w:rPr>
      </w:pPr>
      <w:r>
        <w:rPr>
          <w:sz w:val="24"/>
          <w:szCs w:val="24"/>
        </w:rPr>
        <w:t>The editors recognize that practitioner-research methodologies encourage alternative approaches to sharing research. Authors interested in doing so should consult the journal’s editors prior to submission.</w:t>
      </w:r>
    </w:p>
    <w:p w14:paraId="00000022" w14:textId="77777777" w:rsidR="008A5B10" w:rsidRDefault="008A5B10">
      <w:pPr>
        <w:rPr>
          <w:sz w:val="24"/>
          <w:szCs w:val="24"/>
        </w:rPr>
      </w:pPr>
    </w:p>
    <w:p w14:paraId="00000023" w14:textId="77777777" w:rsidR="008A5B10" w:rsidRDefault="00000000">
      <w:pPr>
        <w:rPr>
          <w:sz w:val="24"/>
          <w:szCs w:val="24"/>
        </w:rPr>
      </w:pPr>
      <w:r>
        <w:rPr>
          <w:sz w:val="24"/>
          <w:szCs w:val="24"/>
        </w:rPr>
        <w:t xml:space="preserve">The </w:t>
      </w:r>
      <w:r>
        <w:rPr>
          <w:i/>
          <w:sz w:val="24"/>
          <w:szCs w:val="24"/>
        </w:rPr>
        <w:t>Journal of Jewish Education</w:t>
      </w:r>
      <w:r>
        <w:rPr>
          <w:sz w:val="24"/>
          <w:szCs w:val="24"/>
        </w:rPr>
        <w:t xml:space="preserve"> uses APA. All in-text citations and bibliography entries should be formatted in this style. The journal’s style guide can be found </w:t>
      </w:r>
      <w:hyperlink r:id="rId6">
        <w:r>
          <w:rPr>
            <w:color w:val="1155CC"/>
            <w:sz w:val="24"/>
            <w:szCs w:val="24"/>
            <w:u w:val="single"/>
          </w:rPr>
          <w:t>here</w:t>
        </w:r>
      </w:hyperlink>
      <w:r>
        <w:rPr>
          <w:sz w:val="24"/>
          <w:szCs w:val="24"/>
        </w:rPr>
        <w:t>.</w:t>
      </w:r>
    </w:p>
    <w:p w14:paraId="00000024" w14:textId="77777777" w:rsidR="008A5B10" w:rsidRDefault="008A5B10">
      <w:pPr>
        <w:rPr>
          <w:sz w:val="24"/>
          <w:szCs w:val="24"/>
        </w:rPr>
      </w:pPr>
    </w:p>
    <w:p w14:paraId="00000025" w14:textId="77777777" w:rsidR="008A5B10" w:rsidRDefault="008A5B10">
      <w:pPr>
        <w:rPr>
          <w:b/>
          <w:sz w:val="24"/>
          <w:szCs w:val="24"/>
        </w:rPr>
      </w:pPr>
    </w:p>
    <w:p w14:paraId="00000026" w14:textId="77777777" w:rsidR="008A5B10" w:rsidRDefault="00000000">
      <w:pPr>
        <w:rPr>
          <w:i/>
          <w:sz w:val="24"/>
          <w:szCs w:val="24"/>
        </w:rPr>
      </w:pPr>
      <w:r>
        <w:rPr>
          <w:b/>
          <w:sz w:val="24"/>
          <w:szCs w:val="24"/>
        </w:rPr>
        <w:t xml:space="preserve">What should practitioner-researchers expect when submitting an article to </w:t>
      </w:r>
      <w:r>
        <w:rPr>
          <w:b/>
          <w:i/>
          <w:sz w:val="24"/>
          <w:szCs w:val="24"/>
        </w:rPr>
        <w:t>The Journal of Jewish Education</w:t>
      </w:r>
      <w:r>
        <w:rPr>
          <w:b/>
          <w:sz w:val="24"/>
          <w:szCs w:val="24"/>
        </w:rPr>
        <w:t>?</w:t>
      </w:r>
    </w:p>
    <w:p w14:paraId="00000027" w14:textId="77777777" w:rsidR="008A5B10" w:rsidRDefault="00000000">
      <w:pPr>
        <w:rPr>
          <w:sz w:val="24"/>
          <w:szCs w:val="24"/>
        </w:rPr>
      </w:pPr>
      <w:r>
        <w:rPr>
          <w:sz w:val="24"/>
          <w:szCs w:val="24"/>
        </w:rPr>
        <w:t xml:space="preserve">Like all articles submitted to the journal, practitioner-research articles will undergo a review process. First, the senior editors will read the article in order to determine whether its topic is suitable for inclusion in the journal. Next, the article will be sent out to at least two experts who specialize in the article’s topic. </w:t>
      </w:r>
      <w:r>
        <w:rPr>
          <w:i/>
          <w:sz w:val="24"/>
          <w:szCs w:val="24"/>
        </w:rPr>
        <w:t>The Journal of Jewish Education</w:t>
      </w:r>
      <w:r>
        <w:rPr>
          <w:sz w:val="24"/>
          <w:szCs w:val="24"/>
        </w:rPr>
        <w:t xml:space="preserve"> uses a double-blind review approach to peer review. </w:t>
      </w:r>
    </w:p>
    <w:p w14:paraId="00000028" w14:textId="77777777" w:rsidR="008A5B10" w:rsidRDefault="00000000">
      <w:pPr>
        <w:rPr>
          <w:sz w:val="24"/>
          <w:szCs w:val="24"/>
        </w:rPr>
      </w:pPr>
      <w:r>
        <w:rPr>
          <w:sz w:val="24"/>
          <w:szCs w:val="24"/>
        </w:rPr>
        <w:lastRenderedPageBreak/>
        <w:t>All authors should expect to wait between 3-9 months before a decision is made and it is rare that a paper is accepted upon first submission. It is common for authors to get feedback and have to make some revisions to their paper.</w:t>
      </w:r>
    </w:p>
    <w:p w14:paraId="00000029" w14:textId="77777777" w:rsidR="008A5B10" w:rsidRDefault="00000000">
      <w:pPr>
        <w:spacing w:before="240" w:after="240"/>
        <w:rPr>
          <w:sz w:val="24"/>
          <w:szCs w:val="24"/>
        </w:rPr>
      </w:pPr>
      <w:r>
        <w:rPr>
          <w:sz w:val="24"/>
          <w:szCs w:val="24"/>
        </w:rPr>
        <w:t xml:space="preserve">Feedback is an important part of academic peer review and is designed to be a supportive process that improves the quality of a paper. </w:t>
      </w:r>
    </w:p>
    <w:p w14:paraId="0000002A" w14:textId="77777777" w:rsidR="008A5B10" w:rsidRDefault="008A5B10">
      <w:pPr>
        <w:rPr>
          <w:b/>
        </w:rPr>
      </w:pPr>
    </w:p>
    <w:p w14:paraId="0000002B" w14:textId="77777777" w:rsidR="008A5B10" w:rsidRDefault="00000000">
      <w:pPr>
        <w:rPr>
          <w:sz w:val="24"/>
          <w:szCs w:val="24"/>
        </w:rPr>
      </w:pPr>
      <w:r>
        <w:rPr>
          <w:b/>
          <w:sz w:val="24"/>
          <w:szCs w:val="24"/>
        </w:rPr>
        <w:t xml:space="preserve">Additional resources for practitioner-researchers interested in submitting to </w:t>
      </w:r>
      <w:r>
        <w:rPr>
          <w:b/>
          <w:i/>
          <w:sz w:val="24"/>
          <w:szCs w:val="24"/>
        </w:rPr>
        <w:t>The Journal of Jewish Education</w:t>
      </w:r>
    </w:p>
    <w:p w14:paraId="0000002C" w14:textId="77777777" w:rsidR="008A5B10" w:rsidRDefault="00000000">
      <w:pPr>
        <w:rPr>
          <w:sz w:val="24"/>
          <w:szCs w:val="24"/>
        </w:rPr>
      </w:pPr>
      <w:r>
        <w:rPr>
          <w:sz w:val="24"/>
          <w:szCs w:val="24"/>
        </w:rPr>
        <w:t xml:space="preserve">There are many published works that identify how to conduct practitioner-research and articles that demonstrate good practitioner-research. The following references list but a few of these many examples. </w:t>
      </w:r>
    </w:p>
    <w:p w14:paraId="0000002D" w14:textId="77777777" w:rsidR="008A5B10" w:rsidRDefault="008A5B10">
      <w:pPr>
        <w:rPr>
          <w:sz w:val="24"/>
          <w:szCs w:val="24"/>
        </w:rPr>
      </w:pPr>
    </w:p>
    <w:p w14:paraId="0000002E" w14:textId="77777777" w:rsidR="008A5B10" w:rsidRDefault="00000000">
      <w:pPr>
        <w:ind w:left="720" w:hanging="720"/>
        <w:rPr>
          <w:sz w:val="24"/>
          <w:szCs w:val="24"/>
        </w:rPr>
      </w:pPr>
      <w:r>
        <w:rPr>
          <w:sz w:val="24"/>
          <w:szCs w:val="24"/>
        </w:rPr>
        <w:t xml:space="preserve">Cochran-Smith, M. &amp; Lytle, S.L. (2009). </w:t>
      </w:r>
      <w:r>
        <w:rPr>
          <w:i/>
          <w:sz w:val="24"/>
          <w:szCs w:val="24"/>
        </w:rPr>
        <w:t>Inquiry as stance: Practitioner research for the next generation</w:t>
      </w:r>
      <w:r>
        <w:rPr>
          <w:sz w:val="24"/>
          <w:szCs w:val="24"/>
        </w:rPr>
        <w:t>. New York: Teachers College Press. (chapters 1 &amp; 2)</w:t>
      </w:r>
    </w:p>
    <w:p w14:paraId="0000002F" w14:textId="77777777" w:rsidR="008A5B10" w:rsidRDefault="00000000">
      <w:pPr>
        <w:ind w:left="720" w:hanging="720"/>
        <w:rPr>
          <w:sz w:val="24"/>
          <w:szCs w:val="24"/>
        </w:rPr>
      </w:pPr>
      <w:proofErr w:type="spellStart"/>
      <w:r>
        <w:rPr>
          <w:sz w:val="24"/>
          <w:szCs w:val="24"/>
        </w:rPr>
        <w:t>Fichtman</w:t>
      </w:r>
      <w:proofErr w:type="spellEnd"/>
      <w:r>
        <w:rPr>
          <w:sz w:val="24"/>
          <w:szCs w:val="24"/>
        </w:rPr>
        <w:t xml:space="preserve"> Dana, N. (2016) The relevancy and importance of practitioner research in contemporary times. </w:t>
      </w:r>
      <w:r>
        <w:rPr>
          <w:i/>
          <w:sz w:val="24"/>
          <w:szCs w:val="24"/>
        </w:rPr>
        <w:t>Journal of Practitioner Research</w:t>
      </w:r>
      <w:r>
        <w:rPr>
          <w:sz w:val="24"/>
          <w:szCs w:val="24"/>
        </w:rPr>
        <w:t xml:space="preserve">, </w:t>
      </w:r>
      <w:r>
        <w:rPr>
          <w:i/>
          <w:sz w:val="24"/>
          <w:szCs w:val="24"/>
        </w:rPr>
        <w:t>1</w:t>
      </w:r>
      <w:r>
        <w:rPr>
          <w:sz w:val="24"/>
          <w:szCs w:val="24"/>
        </w:rPr>
        <w:t xml:space="preserve">(1), 1-7. </w:t>
      </w:r>
      <w:hyperlink r:id="rId7">
        <w:r>
          <w:rPr>
            <w:color w:val="1155CC"/>
            <w:sz w:val="24"/>
            <w:szCs w:val="24"/>
            <w:u w:val="single"/>
          </w:rPr>
          <w:t>https://digitalcommons.usf.edu/cgi/viewcontent.cgi?article=1034&amp;context=jpr</w:t>
        </w:r>
      </w:hyperlink>
    </w:p>
    <w:p w14:paraId="00000030" w14:textId="77777777" w:rsidR="008A5B10" w:rsidRDefault="00000000">
      <w:pPr>
        <w:ind w:left="720" w:hanging="720"/>
        <w:rPr>
          <w:sz w:val="24"/>
          <w:szCs w:val="24"/>
        </w:rPr>
      </w:pPr>
      <w:proofErr w:type="spellStart"/>
      <w:r>
        <w:rPr>
          <w:sz w:val="24"/>
          <w:szCs w:val="24"/>
        </w:rPr>
        <w:t>Fichtman</w:t>
      </w:r>
      <w:proofErr w:type="spellEnd"/>
      <w:r>
        <w:rPr>
          <w:sz w:val="24"/>
          <w:szCs w:val="24"/>
        </w:rPr>
        <w:t xml:space="preserve"> Dana, N. &amp; </w:t>
      </w:r>
      <w:proofErr w:type="spellStart"/>
      <w:r>
        <w:rPr>
          <w:sz w:val="24"/>
          <w:szCs w:val="24"/>
        </w:rPr>
        <w:t>Yendol-Hoppey</w:t>
      </w:r>
      <w:proofErr w:type="spellEnd"/>
      <w:r>
        <w:rPr>
          <w:sz w:val="24"/>
          <w:szCs w:val="24"/>
        </w:rPr>
        <w:t xml:space="preserve">, D. (2019). </w:t>
      </w:r>
      <w:r>
        <w:rPr>
          <w:i/>
          <w:sz w:val="24"/>
          <w:szCs w:val="24"/>
        </w:rPr>
        <w:t>Reflective educator’s guide to classroom research: Learning to teach and teaching to learn through practitioner inquiry</w:t>
      </w:r>
      <w:r>
        <w:rPr>
          <w:sz w:val="24"/>
          <w:szCs w:val="24"/>
        </w:rPr>
        <w:t xml:space="preserve">. Thousand Oaks: Corwin. </w:t>
      </w:r>
    </w:p>
    <w:p w14:paraId="00000031" w14:textId="77777777" w:rsidR="008A5B10" w:rsidRDefault="00000000">
      <w:pPr>
        <w:ind w:left="720" w:hanging="720"/>
        <w:rPr>
          <w:sz w:val="24"/>
          <w:szCs w:val="24"/>
        </w:rPr>
      </w:pPr>
      <w:r>
        <w:rPr>
          <w:sz w:val="24"/>
          <w:szCs w:val="24"/>
        </w:rPr>
        <w:t xml:space="preserve">Tinsley K. (2021). </w:t>
      </w:r>
      <w:r>
        <w:rPr>
          <w:i/>
          <w:sz w:val="24"/>
          <w:szCs w:val="24"/>
        </w:rPr>
        <w:t>A culture of practitioner research: Growing teacher expertise</w:t>
      </w:r>
      <w:r>
        <w:rPr>
          <w:sz w:val="24"/>
          <w:szCs w:val="24"/>
        </w:rPr>
        <w:t>. London: The Chartered College</w:t>
      </w:r>
    </w:p>
    <w:p w14:paraId="00000032" w14:textId="77777777" w:rsidR="008A5B10" w:rsidRDefault="008A5B10">
      <w:pPr>
        <w:ind w:left="720" w:hanging="720"/>
        <w:rPr>
          <w:sz w:val="24"/>
          <w:szCs w:val="24"/>
        </w:rPr>
      </w:pPr>
    </w:p>
    <w:p w14:paraId="00000033" w14:textId="77777777" w:rsidR="008A5B10" w:rsidRDefault="00000000">
      <w:pPr>
        <w:rPr>
          <w:sz w:val="24"/>
          <w:szCs w:val="24"/>
        </w:rPr>
      </w:pPr>
      <w:r>
        <w:rPr>
          <w:sz w:val="24"/>
          <w:szCs w:val="24"/>
        </w:rPr>
        <w:t xml:space="preserve">In addition to publishing individual practitioner research articles, the </w:t>
      </w:r>
      <w:r>
        <w:rPr>
          <w:i/>
          <w:sz w:val="24"/>
          <w:szCs w:val="24"/>
        </w:rPr>
        <w:t>Journal of Jewish Education</w:t>
      </w:r>
      <w:r>
        <w:rPr>
          <w:sz w:val="24"/>
          <w:szCs w:val="24"/>
        </w:rPr>
        <w:t xml:space="preserve"> has published </w:t>
      </w:r>
      <w:hyperlink r:id="rId8">
        <w:r>
          <w:rPr>
            <w:color w:val="1155CC"/>
            <w:sz w:val="24"/>
            <w:szCs w:val="24"/>
            <w:u w:val="single"/>
          </w:rPr>
          <w:t>one issue</w:t>
        </w:r>
      </w:hyperlink>
      <w:r>
        <w:rPr>
          <w:sz w:val="24"/>
          <w:szCs w:val="24"/>
        </w:rPr>
        <w:t xml:space="preserve"> devoted to practitioner research. </w:t>
      </w:r>
    </w:p>
    <w:p w14:paraId="00000034" w14:textId="77777777" w:rsidR="008A5B10" w:rsidRDefault="008A5B10">
      <w:pPr>
        <w:rPr>
          <w:sz w:val="24"/>
          <w:szCs w:val="24"/>
        </w:rPr>
      </w:pPr>
    </w:p>
    <w:p w14:paraId="00000035" w14:textId="77777777" w:rsidR="008A5B10" w:rsidRDefault="00000000">
      <w:pPr>
        <w:rPr>
          <w:sz w:val="24"/>
          <w:szCs w:val="24"/>
        </w:rPr>
      </w:pPr>
      <w:r>
        <w:rPr>
          <w:sz w:val="24"/>
          <w:szCs w:val="24"/>
        </w:rPr>
        <w:t xml:space="preserve">Last, any prospective practitioner-researcher who is interested in a short consultation with a member of the editorial board is invited to email </w:t>
      </w:r>
      <w:r>
        <w:rPr>
          <w:i/>
          <w:sz w:val="24"/>
          <w:szCs w:val="24"/>
        </w:rPr>
        <w:t>The Journal of Jewish Education</w:t>
      </w:r>
      <w:r>
        <w:rPr>
          <w:sz w:val="24"/>
          <w:szCs w:val="24"/>
        </w:rPr>
        <w:t xml:space="preserve">’s senior editors who will connect them to a member of the board. </w:t>
      </w:r>
    </w:p>
    <w:p w14:paraId="00000036" w14:textId="77777777" w:rsidR="008A5B10" w:rsidRDefault="008A5B10">
      <w:pPr>
        <w:rPr>
          <w:sz w:val="24"/>
          <w:szCs w:val="24"/>
        </w:rPr>
      </w:pPr>
    </w:p>
    <w:p w14:paraId="00000037" w14:textId="77777777" w:rsidR="008A5B10" w:rsidRDefault="008A5B10">
      <w:pPr>
        <w:rPr>
          <w:sz w:val="24"/>
          <w:szCs w:val="24"/>
        </w:rPr>
      </w:pPr>
    </w:p>
    <w:p w14:paraId="00000038" w14:textId="77777777" w:rsidR="008A5B10" w:rsidRDefault="00000000">
      <w:pPr>
        <w:rPr>
          <w:i/>
          <w:sz w:val="20"/>
          <w:szCs w:val="20"/>
        </w:rPr>
      </w:pPr>
      <w:r>
        <w:rPr>
          <w:i/>
          <w:sz w:val="20"/>
          <w:szCs w:val="20"/>
        </w:rPr>
        <w:t>Updated November 2024</w:t>
      </w:r>
    </w:p>
    <w:sectPr w:rsidR="008A5B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10"/>
    <w:rsid w:val="008A5B10"/>
    <w:rsid w:val="00AE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0EC32B1-C31B-384D-A78E-EC7E1357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andfonline.com/toc/ujje20/85/2" TargetMode="External"/><Relationship Id="rId3" Type="http://schemas.openxmlformats.org/officeDocument/2006/relationships/webSettings" Target="webSettings.xml"/><Relationship Id="rId7" Type="http://schemas.openxmlformats.org/officeDocument/2006/relationships/hyperlink" Target="https://digitalcommons.usf.edu/cgi/viewcontent.cgi?article=1034&amp;context=jp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taylorandfrancis.com/tf_APA.pdf?_gl=1*mjjwc*_gcl_au*NzMzMDM1NzY1LjE3MjAwMDk4ODU.*_ga*MTc4Njc0NjU1LjE2NzI3MDcxOTM.*_ga_0HYE8YG0M6*MTcyMzA3NDE4OS4yMTIuMS4xNzIzMDc0MTk3LjUyLjAuMA..&amp;_ga=2.67290001.1265044151.1723074191-178674655.1672707193" TargetMode="External"/><Relationship Id="rId5" Type="http://schemas.openxmlformats.org/officeDocument/2006/relationships/hyperlink" Target="https://mail.google.com/mail/u/1/" TargetMode="External"/><Relationship Id="rId10" Type="http://schemas.openxmlformats.org/officeDocument/2006/relationships/theme" Target="theme/theme1.xml"/><Relationship Id="rId4" Type="http://schemas.openxmlformats.org/officeDocument/2006/relationships/hyperlink" Target="https://www.tandfonline.com/action/authorSubmission?show=instructions&amp;journalCode=ujje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Huntting</cp:lastModifiedBy>
  <cp:revision>2</cp:revision>
  <dcterms:created xsi:type="dcterms:W3CDTF">2025-01-10T15:14:00Z</dcterms:created>
  <dcterms:modified xsi:type="dcterms:W3CDTF">2025-01-10T15:14:00Z</dcterms:modified>
</cp:coreProperties>
</file>