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1C1D1" w14:textId="05B67630" w:rsidR="00FF14D5" w:rsidRPr="00FF14D5" w:rsidRDefault="00242554" w:rsidP="00FF14D5">
      <w:pPr>
        <w:tabs>
          <w:tab w:val="clear" w:pos="3068"/>
          <w:tab w:val="left" w:pos="851"/>
        </w:tabs>
        <w:ind w:firstLine="0"/>
        <w:rPr>
          <w:rFonts w:cs="Calibri"/>
          <w:szCs w:val="22"/>
        </w:rPr>
      </w:pPr>
      <w:r>
        <w:rPr>
          <w:rFonts w:cs="Calibri"/>
          <w:szCs w:val="22"/>
        </w:rPr>
        <w:t>This</w:t>
      </w:r>
      <w:r w:rsidR="00FF14D5" w:rsidRPr="00FF14D5">
        <w:rPr>
          <w:rFonts w:cs="Calibri"/>
          <w:szCs w:val="22"/>
        </w:rPr>
        <w:t xml:space="preserve"> template and guide </w:t>
      </w:r>
      <w:r w:rsidR="00DD2A01" w:rsidRPr="00FF14D5">
        <w:rPr>
          <w:rFonts w:cs="Calibri"/>
          <w:szCs w:val="22"/>
        </w:rPr>
        <w:t>have</w:t>
      </w:r>
      <w:r w:rsidR="00FF14D5" w:rsidRPr="00FF14D5">
        <w:rPr>
          <w:rFonts w:cs="Calibri"/>
          <w:szCs w:val="22"/>
        </w:rPr>
        <w:t xml:space="preserve"> been developed for </w:t>
      </w:r>
      <w:r>
        <w:rPr>
          <w:rFonts w:cs="Calibri"/>
          <w:szCs w:val="22"/>
        </w:rPr>
        <w:t>practitioner-researchers</w:t>
      </w:r>
      <w:r w:rsidR="00FF14D5" w:rsidRPr="00FF14D5">
        <w:rPr>
          <w:rFonts w:cs="Calibri"/>
          <w:szCs w:val="22"/>
        </w:rPr>
        <w:t xml:space="preserve"> writing a traditional research paper. The editors recognize that practitioner-research methodologies encourage alternative approaches to sharing research. Authors interested in doing so should consult the journal’s editors prior to submission.</w:t>
      </w:r>
    </w:p>
    <w:p w14:paraId="09F15446" w14:textId="77777777" w:rsidR="0017154C" w:rsidRPr="00FF14D5" w:rsidRDefault="0017154C" w:rsidP="00FF14D5">
      <w:pPr>
        <w:tabs>
          <w:tab w:val="clear" w:pos="3068"/>
          <w:tab w:val="left" w:pos="851"/>
        </w:tabs>
        <w:rPr>
          <w:rFonts w:cs="Calibri"/>
          <w:szCs w:val="22"/>
        </w:rPr>
      </w:pPr>
    </w:p>
    <w:p w14:paraId="1CA0A217" w14:textId="7159F59C" w:rsidR="005D4500" w:rsidRPr="00FF14D5" w:rsidRDefault="00292EE8" w:rsidP="00FF14D5">
      <w:pPr>
        <w:pStyle w:val="Title"/>
        <w:tabs>
          <w:tab w:val="left" w:pos="851"/>
        </w:tabs>
        <w:rPr>
          <w:rFonts w:ascii="Calibri" w:hAnsi="Calibri" w:cs="Calibri"/>
        </w:rPr>
      </w:pPr>
      <w:r w:rsidRPr="00FF14D5">
        <w:rPr>
          <w:rFonts w:ascii="Calibri" w:hAnsi="Calibri" w:cs="Calibri"/>
        </w:rPr>
        <w:t>Title</w:t>
      </w:r>
    </w:p>
    <w:p w14:paraId="0AFE45A7" w14:textId="77777777" w:rsidR="0017154C" w:rsidRPr="00FF14D5" w:rsidRDefault="0017154C" w:rsidP="00FF14D5">
      <w:pPr>
        <w:tabs>
          <w:tab w:val="clear" w:pos="3068"/>
          <w:tab w:val="left" w:pos="851"/>
        </w:tabs>
        <w:rPr>
          <w:rFonts w:cs="Calibri"/>
          <w:szCs w:val="22"/>
        </w:rPr>
      </w:pPr>
    </w:p>
    <w:p w14:paraId="3E30800D" w14:textId="77777777" w:rsidR="0017154C" w:rsidRDefault="0017154C" w:rsidP="00FF14D5">
      <w:pPr>
        <w:pStyle w:val="Heading1"/>
        <w:tabs>
          <w:tab w:val="left" w:pos="851"/>
        </w:tabs>
        <w:rPr>
          <w:rFonts w:ascii="Calibri" w:hAnsi="Calibri" w:cs="Calibri"/>
        </w:rPr>
      </w:pPr>
      <w:r w:rsidRPr="00FF14D5">
        <w:rPr>
          <w:rFonts w:ascii="Calibri" w:hAnsi="Calibri" w:cs="Calibri"/>
        </w:rPr>
        <w:t>Abstract</w:t>
      </w:r>
    </w:p>
    <w:p w14:paraId="66CF5C60" w14:textId="3B6995D6" w:rsidR="00242554" w:rsidRPr="00242554" w:rsidRDefault="00242554" w:rsidP="00242554">
      <w:pPr>
        <w:ind w:firstLine="0"/>
        <w:rPr>
          <w:lang w:val="en-CA" w:bidi="he-IL"/>
        </w:rPr>
      </w:pPr>
      <w:r>
        <w:t>One paragraph summary of the main ideas and findings of the article.</w:t>
      </w:r>
    </w:p>
    <w:p w14:paraId="462DCD2A" w14:textId="43A97E66" w:rsidR="0017154C" w:rsidRPr="00FF14D5" w:rsidRDefault="0017154C" w:rsidP="00FF14D5">
      <w:pPr>
        <w:tabs>
          <w:tab w:val="clear" w:pos="3068"/>
          <w:tab w:val="left" w:pos="851"/>
        </w:tabs>
        <w:ind w:firstLine="0"/>
        <w:rPr>
          <w:rFonts w:cs="Calibri"/>
          <w:szCs w:val="22"/>
        </w:rPr>
      </w:pPr>
      <w:r w:rsidRPr="00FF14D5">
        <w:rPr>
          <w:rFonts w:cs="Calibri"/>
          <w:i/>
          <w:szCs w:val="22"/>
        </w:rPr>
        <w:t>Keywords:</w:t>
      </w:r>
      <w:r w:rsidRPr="00FF14D5">
        <w:rPr>
          <w:rFonts w:cs="Calibri"/>
          <w:szCs w:val="22"/>
        </w:rPr>
        <w:t xml:space="preserve"> </w:t>
      </w:r>
    </w:p>
    <w:p w14:paraId="2FED3746" w14:textId="77777777" w:rsidR="00E102C3" w:rsidRPr="00FF14D5" w:rsidRDefault="00E102C3" w:rsidP="00FF14D5">
      <w:pPr>
        <w:tabs>
          <w:tab w:val="clear" w:pos="3068"/>
          <w:tab w:val="left" w:pos="851"/>
        </w:tabs>
        <w:rPr>
          <w:rFonts w:cs="Calibri"/>
          <w:szCs w:val="22"/>
        </w:rPr>
      </w:pPr>
      <w:r w:rsidRPr="00FF14D5">
        <w:rPr>
          <w:rFonts w:cs="Calibri"/>
          <w:szCs w:val="22"/>
        </w:rPr>
        <w:br w:type="page"/>
      </w:r>
    </w:p>
    <w:p w14:paraId="3A6E430F" w14:textId="3AD6B6E2" w:rsidR="00E102C3" w:rsidRPr="00FF14D5" w:rsidRDefault="00292EE8" w:rsidP="00FF14D5">
      <w:pPr>
        <w:pStyle w:val="Heading1"/>
        <w:tabs>
          <w:tab w:val="left" w:pos="851"/>
        </w:tabs>
        <w:rPr>
          <w:rFonts w:ascii="Calibri" w:hAnsi="Calibri" w:cs="Calibri"/>
        </w:rPr>
      </w:pPr>
      <w:r w:rsidRPr="00FF14D5">
        <w:rPr>
          <w:rFonts w:ascii="Calibri" w:hAnsi="Calibri" w:cs="Calibri"/>
        </w:rPr>
        <w:lastRenderedPageBreak/>
        <w:t>Title</w:t>
      </w:r>
    </w:p>
    <w:p w14:paraId="21AAE0C1" w14:textId="1C36B317" w:rsidR="00292EE8" w:rsidRPr="00FF14D5" w:rsidRDefault="00292EE8" w:rsidP="00FF14D5">
      <w:pPr>
        <w:tabs>
          <w:tab w:val="clear" w:pos="3068"/>
          <w:tab w:val="left" w:pos="851"/>
        </w:tabs>
        <w:ind w:firstLine="0"/>
        <w:rPr>
          <w:rFonts w:cs="Calibri"/>
          <w:b/>
          <w:bCs/>
          <w:szCs w:val="22"/>
        </w:rPr>
      </w:pPr>
      <w:r w:rsidRPr="00FF14D5">
        <w:rPr>
          <w:rFonts w:cs="Calibri"/>
          <w:b/>
          <w:bCs/>
          <w:szCs w:val="22"/>
        </w:rPr>
        <w:t>Introduction</w:t>
      </w:r>
    </w:p>
    <w:p w14:paraId="337D1578" w14:textId="18964A85" w:rsidR="00292EE8" w:rsidRPr="00FF14D5" w:rsidRDefault="00292EE8" w:rsidP="00FF14D5">
      <w:pPr>
        <w:tabs>
          <w:tab w:val="clear" w:pos="3068"/>
          <w:tab w:val="left" w:pos="851"/>
        </w:tabs>
        <w:ind w:firstLine="0"/>
        <w:rPr>
          <w:rFonts w:cs="Calibri"/>
          <w:szCs w:val="22"/>
        </w:rPr>
      </w:pPr>
      <w:r w:rsidRPr="00FF14D5">
        <w:rPr>
          <w:rFonts w:cs="Calibri"/>
          <w:szCs w:val="22"/>
        </w:rPr>
        <w:t>Introduces the article’s topic and reports the key findings of the investigation</w:t>
      </w:r>
    </w:p>
    <w:p w14:paraId="60AD6FC3" w14:textId="77777777" w:rsidR="00292EE8" w:rsidRPr="00FF14D5" w:rsidRDefault="00292EE8" w:rsidP="00FF14D5">
      <w:pPr>
        <w:tabs>
          <w:tab w:val="clear" w:pos="3068"/>
          <w:tab w:val="left" w:pos="851"/>
        </w:tabs>
        <w:rPr>
          <w:rFonts w:cs="Calibri"/>
          <w:szCs w:val="22"/>
        </w:rPr>
      </w:pPr>
    </w:p>
    <w:p w14:paraId="78A57D81" w14:textId="77777777" w:rsidR="00292EE8" w:rsidRPr="00FF14D5" w:rsidRDefault="00292EE8" w:rsidP="00FF14D5">
      <w:pPr>
        <w:tabs>
          <w:tab w:val="clear" w:pos="3068"/>
          <w:tab w:val="left" w:pos="851"/>
        </w:tabs>
        <w:ind w:firstLine="0"/>
        <w:rPr>
          <w:rFonts w:cs="Calibri"/>
          <w:b/>
          <w:bCs/>
          <w:szCs w:val="22"/>
        </w:rPr>
      </w:pPr>
      <w:r w:rsidRPr="00FF14D5">
        <w:rPr>
          <w:rFonts w:cs="Calibri"/>
          <w:b/>
          <w:bCs/>
          <w:szCs w:val="22"/>
        </w:rPr>
        <w:t>Literature Review</w:t>
      </w:r>
    </w:p>
    <w:p w14:paraId="08F3531F" w14:textId="474C35FB" w:rsidR="00180A27" w:rsidRPr="00FF14D5" w:rsidRDefault="00292EE8" w:rsidP="00FF14D5">
      <w:pPr>
        <w:tabs>
          <w:tab w:val="clear" w:pos="3068"/>
          <w:tab w:val="left" w:pos="851"/>
        </w:tabs>
        <w:ind w:firstLine="0"/>
        <w:rPr>
          <w:rFonts w:cs="Calibri"/>
          <w:szCs w:val="22"/>
        </w:rPr>
      </w:pPr>
      <w:r w:rsidRPr="00FF14D5">
        <w:rPr>
          <w:rFonts w:cs="Calibri"/>
          <w:szCs w:val="22"/>
        </w:rPr>
        <w:t>An overview of prior research that has been conducted on the article’s topic in order to situate your research in dialogue with existing literature. You should use subheadings to divide different research topics.</w:t>
      </w:r>
      <w:r w:rsidR="00180A27" w:rsidRPr="00FF14D5">
        <w:rPr>
          <w:rFonts w:cs="Calibri"/>
          <w:szCs w:val="22"/>
        </w:rPr>
        <w:t xml:space="preserve"> The subheading titles should make clear to the reader what you will be writing about.</w:t>
      </w:r>
    </w:p>
    <w:p w14:paraId="51240935" w14:textId="4BCEE916" w:rsidR="00180A27" w:rsidRPr="00FF14D5" w:rsidRDefault="00FF14D5" w:rsidP="00FF14D5">
      <w:pPr>
        <w:tabs>
          <w:tab w:val="clear" w:pos="3068"/>
          <w:tab w:val="left" w:pos="851"/>
        </w:tabs>
        <w:ind w:firstLine="0"/>
        <w:rPr>
          <w:rFonts w:cs="Calibri"/>
          <w:szCs w:val="22"/>
        </w:rPr>
      </w:pPr>
      <w:r w:rsidRPr="00FF14D5">
        <w:rPr>
          <w:rFonts w:cs="Calibri"/>
          <w:b/>
          <w:bCs/>
          <w:szCs w:val="22"/>
        </w:rPr>
        <w:tab/>
      </w:r>
      <w:r w:rsidR="00180A27" w:rsidRPr="00FF14D5">
        <w:rPr>
          <w:rFonts w:cs="Calibri"/>
          <w:b/>
          <w:bCs/>
          <w:szCs w:val="22"/>
        </w:rPr>
        <w:t xml:space="preserve">Subtopic number one. </w:t>
      </w:r>
      <w:r w:rsidR="00180A27" w:rsidRPr="00FF14D5">
        <w:rPr>
          <w:rFonts w:cs="Calibri"/>
          <w:szCs w:val="22"/>
        </w:rPr>
        <w:t>The text begins here</w:t>
      </w:r>
    </w:p>
    <w:p w14:paraId="01872DF4" w14:textId="1BEA868F" w:rsidR="00180A27" w:rsidRPr="00FF14D5" w:rsidRDefault="00180A27" w:rsidP="00FF14D5">
      <w:pPr>
        <w:tabs>
          <w:tab w:val="clear" w:pos="3068"/>
          <w:tab w:val="left" w:pos="851"/>
        </w:tabs>
        <w:ind w:firstLine="0"/>
        <w:rPr>
          <w:rFonts w:cs="Calibri"/>
          <w:szCs w:val="22"/>
        </w:rPr>
      </w:pPr>
      <w:r w:rsidRPr="00FF14D5">
        <w:rPr>
          <w:rFonts w:cs="Calibri"/>
          <w:szCs w:val="22"/>
        </w:rPr>
        <w:tab/>
      </w:r>
      <w:r w:rsidRPr="00FF14D5">
        <w:rPr>
          <w:rFonts w:cs="Calibri"/>
          <w:b/>
          <w:bCs/>
          <w:szCs w:val="22"/>
        </w:rPr>
        <w:t>Subtopic number two</w:t>
      </w:r>
      <w:r w:rsidRPr="00FF14D5">
        <w:rPr>
          <w:rFonts w:cs="Calibri"/>
          <w:szCs w:val="22"/>
        </w:rPr>
        <w:t>. The text begins here</w:t>
      </w:r>
    </w:p>
    <w:p w14:paraId="780DC88D" w14:textId="77777777" w:rsidR="00292EE8" w:rsidRPr="00FF14D5" w:rsidRDefault="00292EE8" w:rsidP="00FF14D5">
      <w:pPr>
        <w:tabs>
          <w:tab w:val="clear" w:pos="3068"/>
          <w:tab w:val="left" w:pos="851"/>
        </w:tabs>
        <w:rPr>
          <w:rFonts w:cs="Calibri"/>
          <w:szCs w:val="22"/>
        </w:rPr>
      </w:pPr>
    </w:p>
    <w:p w14:paraId="2CB86561" w14:textId="11679343" w:rsidR="00292EE8" w:rsidRPr="00FF14D5" w:rsidRDefault="00292EE8" w:rsidP="00FF14D5">
      <w:pPr>
        <w:tabs>
          <w:tab w:val="clear" w:pos="3068"/>
          <w:tab w:val="left" w:pos="851"/>
        </w:tabs>
        <w:ind w:firstLine="0"/>
        <w:rPr>
          <w:rFonts w:cs="Calibri"/>
          <w:b/>
          <w:bCs/>
          <w:szCs w:val="22"/>
        </w:rPr>
      </w:pPr>
      <w:r w:rsidRPr="00FF14D5">
        <w:rPr>
          <w:rFonts w:cs="Calibri"/>
          <w:b/>
          <w:bCs/>
          <w:szCs w:val="22"/>
        </w:rPr>
        <w:t>Methods</w:t>
      </w:r>
    </w:p>
    <w:p w14:paraId="3916174D" w14:textId="77777777" w:rsidR="00292EE8" w:rsidRPr="00FF14D5" w:rsidRDefault="00292EE8" w:rsidP="00FF14D5">
      <w:pPr>
        <w:tabs>
          <w:tab w:val="clear" w:pos="3068"/>
          <w:tab w:val="left" w:pos="851"/>
        </w:tabs>
        <w:ind w:firstLine="0"/>
        <w:rPr>
          <w:rFonts w:cs="Calibri"/>
          <w:szCs w:val="22"/>
        </w:rPr>
      </w:pPr>
      <w:r w:rsidRPr="00FF14D5">
        <w:rPr>
          <w:rFonts w:cs="Calibri"/>
          <w:szCs w:val="22"/>
        </w:rPr>
        <w:t xml:space="preserve">A detailed description of your study design. In this section you will explain who was involved in the study, how the study was conducted, and the methodological approaches used for data analysis. </w:t>
      </w:r>
    </w:p>
    <w:p w14:paraId="1F88AF61" w14:textId="77777777" w:rsidR="00292EE8" w:rsidRPr="00FF14D5" w:rsidRDefault="00292EE8" w:rsidP="00FF14D5">
      <w:pPr>
        <w:tabs>
          <w:tab w:val="clear" w:pos="3068"/>
          <w:tab w:val="left" w:pos="851"/>
        </w:tabs>
        <w:rPr>
          <w:rFonts w:cs="Calibri"/>
          <w:szCs w:val="22"/>
        </w:rPr>
      </w:pPr>
    </w:p>
    <w:p w14:paraId="59BCDDE0" w14:textId="77777777" w:rsidR="00292EE8" w:rsidRPr="00FF14D5" w:rsidRDefault="00292EE8" w:rsidP="00FF14D5">
      <w:pPr>
        <w:tabs>
          <w:tab w:val="clear" w:pos="3068"/>
          <w:tab w:val="left" w:pos="851"/>
        </w:tabs>
        <w:ind w:firstLine="0"/>
        <w:rPr>
          <w:rFonts w:cs="Calibri"/>
          <w:b/>
          <w:bCs/>
          <w:szCs w:val="22"/>
        </w:rPr>
      </w:pPr>
      <w:r w:rsidRPr="00FF14D5">
        <w:rPr>
          <w:rFonts w:cs="Calibri"/>
          <w:b/>
          <w:bCs/>
          <w:szCs w:val="22"/>
        </w:rPr>
        <w:t>Findings</w:t>
      </w:r>
    </w:p>
    <w:p w14:paraId="26F2EBE5" w14:textId="1EF13CF3" w:rsidR="00292EE8" w:rsidRPr="00FF14D5" w:rsidRDefault="00292EE8" w:rsidP="00FF14D5">
      <w:pPr>
        <w:tabs>
          <w:tab w:val="clear" w:pos="3068"/>
          <w:tab w:val="left" w:pos="851"/>
        </w:tabs>
        <w:ind w:firstLine="0"/>
        <w:rPr>
          <w:rFonts w:cs="Calibri"/>
          <w:szCs w:val="22"/>
        </w:rPr>
      </w:pPr>
      <w:r w:rsidRPr="00FF14D5">
        <w:rPr>
          <w:rFonts w:cs="Calibri"/>
          <w:szCs w:val="22"/>
        </w:rPr>
        <w:t>This is where you explain what was learned. You should use subheadings to organize key findings.</w:t>
      </w:r>
      <w:r w:rsidR="00180A27" w:rsidRPr="00FF14D5">
        <w:rPr>
          <w:rFonts w:cs="Calibri"/>
          <w:szCs w:val="22"/>
        </w:rPr>
        <w:t xml:space="preserve"> If needed, you can even further divide within a subheading.</w:t>
      </w:r>
      <w:r w:rsidRPr="00FF14D5">
        <w:rPr>
          <w:rFonts w:cs="Calibri"/>
          <w:szCs w:val="22"/>
        </w:rPr>
        <w:t xml:space="preserve"> </w:t>
      </w:r>
      <w:r w:rsidR="00180A27" w:rsidRPr="00FF14D5">
        <w:rPr>
          <w:rFonts w:cs="Calibri"/>
          <w:szCs w:val="22"/>
        </w:rPr>
        <w:t>The subheading titles should make clear to the reader what you will be writing about.</w:t>
      </w:r>
    </w:p>
    <w:p w14:paraId="5050787F" w14:textId="13744383" w:rsidR="00292EE8" w:rsidRPr="00FF14D5" w:rsidRDefault="00180A27" w:rsidP="00FF14D5">
      <w:pPr>
        <w:tabs>
          <w:tab w:val="clear" w:pos="3068"/>
          <w:tab w:val="left" w:pos="851"/>
        </w:tabs>
        <w:rPr>
          <w:rFonts w:cs="Calibri"/>
          <w:szCs w:val="22"/>
        </w:rPr>
      </w:pPr>
      <w:r w:rsidRPr="00FF14D5">
        <w:rPr>
          <w:rFonts w:cs="Calibri"/>
          <w:b/>
          <w:bCs/>
          <w:szCs w:val="22"/>
        </w:rPr>
        <w:t>Finding number one</w:t>
      </w:r>
      <w:r w:rsidRPr="00FF14D5">
        <w:rPr>
          <w:rFonts w:cs="Calibri"/>
          <w:szCs w:val="22"/>
        </w:rPr>
        <w:t>. The text begins here</w:t>
      </w:r>
    </w:p>
    <w:p w14:paraId="64D8BA9D" w14:textId="53DE92A1" w:rsidR="00180A27" w:rsidRPr="00FF14D5" w:rsidRDefault="00180A27" w:rsidP="00FF14D5">
      <w:pPr>
        <w:tabs>
          <w:tab w:val="clear" w:pos="3068"/>
          <w:tab w:val="left" w:pos="851"/>
        </w:tabs>
        <w:rPr>
          <w:rFonts w:cs="Calibri"/>
          <w:szCs w:val="22"/>
        </w:rPr>
      </w:pPr>
      <w:r w:rsidRPr="00FF14D5">
        <w:rPr>
          <w:rFonts w:cs="Calibri"/>
          <w:b/>
          <w:bCs/>
          <w:szCs w:val="22"/>
        </w:rPr>
        <w:t>Finding number two</w:t>
      </w:r>
      <w:r w:rsidRPr="00FF14D5">
        <w:rPr>
          <w:rFonts w:cs="Calibri"/>
          <w:szCs w:val="22"/>
        </w:rPr>
        <w:t>. The text begins here</w:t>
      </w:r>
    </w:p>
    <w:p w14:paraId="6FDAF915" w14:textId="01E449D7" w:rsidR="00180A27" w:rsidRPr="00FF14D5" w:rsidRDefault="00180A27" w:rsidP="00FF14D5">
      <w:pPr>
        <w:tabs>
          <w:tab w:val="clear" w:pos="3068"/>
          <w:tab w:val="left" w:pos="851"/>
        </w:tabs>
        <w:rPr>
          <w:rFonts w:cs="Calibri"/>
          <w:szCs w:val="22"/>
        </w:rPr>
      </w:pPr>
      <w:r w:rsidRPr="00FF14D5">
        <w:rPr>
          <w:rFonts w:cs="Calibri"/>
          <w:b/>
          <w:bCs/>
          <w:szCs w:val="22"/>
        </w:rPr>
        <w:t>Finding number three</w:t>
      </w:r>
      <w:r w:rsidRPr="00FF14D5">
        <w:rPr>
          <w:rFonts w:cs="Calibri"/>
          <w:szCs w:val="22"/>
        </w:rPr>
        <w:t>. The text begins here</w:t>
      </w:r>
    </w:p>
    <w:p w14:paraId="2447A0FC" w14:textId="18030710" w:rsidR="00180A27" w:rsidRPr="00FF14D5" w:rsidRDefault="00180A27" w:rsidP="00FF14D5">
      <w:pPr>
        <w:tabs>
          <w:tab w:val="clear" w:pos="3068"/>
          <w:tab w:val="left" w:pos="851"/>
        </w:tabs>
        <w:rPr>
          <w:rFonts w:cs="Calibri"/>
          <w:szCs w:val="22"/>
        </w:rPr>
      </w:pPr>
      <w:proofErr w:type="spellStart"/>
      <w:r w:rsidRPr="00FF14D5">
        <w:rPr>
          <w:rFonts w:cs="Calibri"/>
          <w:b/>
          <w:bCs/>
          <w:i/>
          <w:iCs/>
          <w:szCs w:val="22"/>
        </w:rPr>
        <w:t>Subfinding</w:t>
      </w:r>
      <w:proofErr w:type="spellEnd"/>
      <w:r w:rsidRPr="00FF14D5">
        <w:rPr>
          <w:rFonts w:cs="Calibri"/>
          <w:b/>
          <w:bCs/>
          <w:i/>
          <w:iCs/>
          <w:szCs w:val="22"/>
        </w:rPr>
        <w:t xml:space="preserve"> number one of finding number three</w:t>
      </w:r>
      <w:r w:rsidRPr="00FF14D5">
        <w:rPr>
          <w:rFonts w:cs="Calibri"/>
          <w:szCs w:val="22"/>
        </w:rPr>
        <w:t>. The text begins here</w:t>
      </w:r>
    </w:p>
    <w:p w14:paraId="0ECCF514" w14:textId="51EA1CA8" w:rsidR="00180A27" w:rsidRPr="00FF14D5" w:rsidRDefault="00180A27" w:rsidP="00FF14D5">
      <w:pPr>
        <w:tabs>
          <w:tab w:val="clear" w:pos="3068"/>
          <w:tab w:val="left" w:pos="851"/>
        </w:tabs>
        <w:rPr>
          <w:rFonts w:cs="Calibri"/>
          <w:szCs w:val="22"/>
        </w:rPr>
      </w:pPr>
      <w:proofErr w:type="spellStart"/>
      <w:r w:rsidRPr="00FF14D5">
        <w:rPr>
          <w:rFonts w:cs="Calibri"/>
          <w:b/>
          <w:bCs/>
          <w:i/>
          <w:iCs/>
          <w:szCs w:val="22"/>
        </w:rPr>
        <w:t>Subfinding</w:t>
      </w:r>
      <w:proofErr w:type="spellEnd"/>
      <w:r w:rsidRPr="00FF14D5">
        <w:rPr>
          <w:rFonts w:cs="Calibri"/>
          <w:b/>
          <w:bCs/>
          <w:i/>
          <w:iCs/>
          <w:szCs w:val="22"/>
        </w:rPr>
        <w:t xml:space="preserve"> number two of finding number three</w:t>
      </w:r>
      <w:r w:rsidRPr="00FF14D5">
        <w:rPr>
          <w:rFonts w:cs="Calibri"/>
          <w:szCs w:val="22"/>
        </w:rPr>
        <w:t>. The text begins here</w:t>
      </w:r>
    </w:p>
    <w:p w14:paraId="26B7D9B2" w14:textId="77777777" w:rsidR="00180A27" w:rsidRPr="00FF14D5" w:rsidRDefault="00180A27" w:rsidP="00FF14D5">
      <w:pPr>
        <w:tabs>
          <w:tab w:val="clear" w:pos="3068"/>
          <w:tab w:val="left" w:pos="851"/>
        </w:tabs>
        <w:ind w:firstLine="0"/>
        <w:rPr>
          <w:rFonts w:cs="Calibri"/>
          <w:szCs w:val="22"/>
        </w:rPr>
      </w:pPr>
    </w:p>
    <w:p w14:paraId="3A2B84D7" w14:textId="77777777" w:rsidR="00292EE8" w:rsidRPr="00FF14D5" w:rsidRDefault="00292EE8" w:rsidP="00FF14D5">
      <w:pPr>
        <w:tabs>
          <w:tab w:val="clear" w:pos="3068"/>
          <w:tab w:val="left" w:pos="851"/>
        </w:tabs>
        <w:ind w:firstLine="0"/>
        <w:rPr>
          <w:rFonts w:cs="Calibri"/>
          <w:b/>
          <w:bCs/>
          <w:szCs w:val="22"/>
        </w:rPr>
      </w:pPr>
      <w:r w:rsidRPr="00FF14D5">
        <w:rPr>
          <w:rFonts w:cs="Calibri"/>
          <w:b/>
          <w:bCs/>
          <w:szCs w:val="22"/>
        </w:rPr>
        <w:t>Discussion</w:t>
      </w:r>
    </w:p>
    <w:p w14:paraId="746CDE4E" w14:textId="77777777" w:rsidR="00292EE8" w:rsidRPr="00FF14D5" w:rsidRDefault="00292EE8" w:rsidP="00FF14D5">
      <w:pPr>
        <w:tabs>
          <w:tab w:val="clear" w:pos="3068"/>
          <w:tab w:val="left" w:pos="851"/>
        </w:tabs>
        <w:ind w:firstLine="0"/>
        <w:rPr>
          <w:rFonts w:cs="Calibri"/>
          <w:szCs w:val="22"/>
        </w:rPr>
      </w:pPr>
      <w:r w:rsidRPr="00FF14D5">
        <w:rPr>
          <w:rFonts w:cs="Calibri"/>
          <w:szCs w:val="22"/>
        </w:rPr>
        <w:t>The discussion section explains the significance of the findings and, drawing upon the research cited in the literature review, positions the findings in relation to what was previously known. Here you explain the importance of your work and how it contributes to the wider field(s) you are writing about. You may use subheadings to divide main points.</w:t>
      </w:r>
    </w:p>
    <w:p w14:paraId="0F995AE3" w14:textId="77777777" w:rsidR="00292EE8" w:rsidRPr="00FF14D5" w:rsidRDefault="00292EE8" w:rsidP="00FF14D5">
      <w:pPr>
        <w:tabs>
          <w:tab w:val="clear" w:pos="3068"/>
          <w:tab w:val="left" w:pos="851"/>
        </w:tabs>
        <w:rPr>
          <w:rFonts w:cs="Calibri"/>
          <w:szCs w:val="22"/>
        </w:rPr>
      </w:pPr>
    </w:p>
    <w:p w14:paraId="090A3EC2" w14:textId="76275309" w:rsidR="00292EE8" w:rsidRPr="00FF14D5" w:rsidRDefault="00292EE8" w:rsidP="00FF14D5">
      <w:pPr>
        <w:tabs>
          <w:tab w:val="clear" w:pos="3068"/>
          <w:tab w:val="left" w:pos="851"/>
        </w:tabs>
        <w:ind w:firstLine="0"/>
        <w:rPr>
          <w:rFonts w:cs="Calibri"/>
          <w:b/>
          <w:bCs/>
          <w:szCs w:val="22"/>
        </w:rPr>
      </w:pPr>
      <w:r w:rsidRPr="00FF14D5">
        <w:rPr>
          <w:rFonts w:cs="Calibri"/>
          <w:b/>
          <w:bCs/>
          <w:szCs w:val="22"/>
        </w:rPr>
        <w:t>Conclusion</w:t>
      </w:r>
    </w:p>
    <w:p w14:paraId="691651F2" w14:textId="77777777" w:rsidR="00292EE8" w:rsidRPr="00FF14D5" w:rsidRDefault="00292EE8" w:rsidP="00FF14D5">
      <w:pPr>
        <w:tabs>
          <w:tab w:val="clear" w:pos="3068"/>
          <w:tab w:val="left" w:pos="851"/>
        </w:tabs>
        <w:ind w:firstLine="0"/>
        <w:rPr>
          <w:rFonts w:cs="Calibri"/>
          <w:szCs w:val="22"/>
        </w:rPr>
      </w:pPr>
      <w:r w:rsidRPr="00FF14D5">
        <w:rPr>
          <w:rFonts w:cs="Calibri"/>
          <w:szCs w:val="22"/>
        </w:rPr>
        <w:t>The conclusion section restates the key findings and resolves questions like “so what, who cares, why does this research matter?”. It is here where you indicate any limitations of your work (i.e. small sample size).</w:t>
      </w:r>
    </w:p>
    <w:p w14:paraId="185296F8" w14:textId="77777777" w:rsidR="00292EE8" w:rsidRPr="00FF14D5" w:rsidRDefault="00292EE8" w:rsidP="00FF14D5">
      <w:pPr>
        <w:tabs>
          <w:tab w:val="clear" w:pos="3068"/>
          <w:tab w:val="left" w:pos="851"/>
        </w:tabs>
        <w:rPr>
          <w:rFonts w:cs="Calibri"/>
          <w:szCs w:val="22"/>
        </w:rPr>
      </w:pPr>
    </w:p>
    <w:p w14:paraId="33766AB5" w14:textId="77777777" w:rsidR="00292EE8" w:rsidRPr="00FF14D5" w:rsidRDefault="00292EE8" w:rsidP="00FF14D5">
      <w:pPr>
        <w:tabs>
          <w:tab w:val="clear" w:pos="3068"/>
          <w:tab w:val="left" w:pos="851"/>
        </w:tabs>
        <w:ind w:firstLine="0"/>
        <w:jc w:val="center"/>
        <w:rPr>
          <w:rFonts w:cs="Calibri"/>
          <w:b/>
          <w:bCs/>
          <w:szCs w:val="22"/>
        </w:rPr>
      </w:pPr>
      <w:r w:rsidRPr="00FF14D5">
        <w:rPr>
          <w:rFonts w:cs="Calibri"/>
          <w:b/>
          <w:bCs/>
          <w:szCs w:val="22"/>
        </w:rPr>
        <w:t>References</w:t>
      </w:r>
    </w:p>
    <w:p w14:paraId="619104FA" w14:textId="46B64ACD" w:rsidR="00180A27" w:rsidRPr="00FF14D5" w:rsidRDefault="00292EE8" w:rsidP="00FF14D5">
      <w:pPr>
        <w:tabs>
          <w:tab w:val="clear" w:pos="3068"/>
          <w:tab w:val="left" w:pos="851"/>
        </w:tabs>
        <w:ind w:firstLine="0"/>
        <w:rPr>
          <w:rFonts w:cs="Calibri"/>
          <w:szCs w:val="22"/>
        </w:rPr>
      </w:pPr>
      <w:r w:rsidRPr="00FF14D5">
        <w:rPr>
          <w:rFonts w:cs="Calibri"/>
          <w:szCs w:val="22"/>
        </w:rPr>
        <w:t>All material cited in-text must be included in an alphabetical reference list that is formatted according to APA style guidelines</w:t>
      </w:r>
      <w:r w:rsidR="00242554">
        <w:rPr>
          <w:rFonts w:cs="Calibri"/>
          <w:szCs w:val="22"/>
        </w:rPr>
        <w:t xml:space="preserve"> (7</w:t>
      </w:r>
      <w:r w:rsidR="00242554" w:rsidRPr="00242554">
        <w:rPr>
          <w:rFonts w:cs="Calibri"/>
          <w:szCs w:val="22"/>
          <w:vertAlign w:val="superscript"/>
        </w:rPr>
        <w:t>th</w:t>
      </w:r>
      <w:r w:rsidR="00242554">
        <w:rPr>
          <w:rFonts w:cs="Calibri"/>
          <w:szCs w:val="22"/>
        </w:rPr>
        <w:t xml:space="preserve"> edition)</w:t>
      </w:r>
      <w:r w:rsidR="00180A27" w:rsidRPr="00FF14D5">
        <w:rPr>
          <w:rFonts w:cs="Calibri"/>
          <w:szCs w:val="22"/>
        </w:rPr>
        <w:t xml:space="preserve">. Below are examples of books, chapters in books, journal articles and websites. Citation guidelines for other types of resources can be found in the </w:t>
      </w:r>
      <w:hyperlink r:id="rId8" w:history="1">
        <w:r w:rsidR="00180A27" w:rsidRPr="00242554">
          <w:rPr>
            <w:rStyle w:val="Hyperlink"/>
            <w:rFonts w:cs="Calibri"/>
            <w:szCs w:val="22"/>
          </w:rPr>
          <w:t>APA style manual</w:t>
        </w:r>
      </w:hyperlink>
      <w:r w:rsidR="00180A27" w:rsidRPr="00FF14D5">
        <w:rPr>
          <w:rFonts w:cs="Calibri"/>
          <w:szCs w:val="22"/>
        </w:rPr>
        <w:t xml:space="preserve">. </w:t>
      </w:r>
    </w:p>
    <w:p w14:paraId="1AC9FCD2" w14:textId="77777777" w:rsidR="00180A27" w:rsidRPr="00FF14D5" w:rsidRDefault="00180A27" w:rsidP="00FF14D5">
      <w:pPr>
        <w:tabs>
          <w:tab w:val="clear" w:pos="3068"/>
          <w:tab w:val="left" w:pos="851"/>
        </w:tabs>
        <w:ind w:firstLine="0"/>
        <w:rPr>
          <w:rFonts w:cs="Calibri"/>
          <w:szCs w:val="22"/>
        </w:rPr>
      </w:pPr>
    </w:p>
    <w:p w14:paraId="19112AFE" w14:textId="77777777" w:rsidR="007930AB" w:rsidRPr="00FF14D5" w:rsidRDefault="007930AB" w:rsidP="00FF14D5">
      <w:pPr>
        <w:tabs>
          <w:tab w:val="clear" w:pos="3068"/>
          <w:tab w:val="left" w:pos="851"/>
        </w:tabs>
        <w:ind w:left="720" w:hanging="720"/>
        <w:rPr>
          <w:rFonts w:cs="Calibri"/>
          <w:szCs w:val="22"/>
        </w:rPr>
      </w:pPr>
      <w:r w:rsidRPr="00FF14D5">
        <w:rPr>
          <w:rFonts w:cs="Calibri"/>
          <w:szCs w:val="22"/>
        </w:rPr>
        <w:t xml:space="preserve">Avery, R. J., Bryant, W. K., </w:t>
      </w:r>
      <w:proofErr w:type="spellStart"/>
      <w:r w:rsidRPr="00FF14D5">
        <w:rPr>
          <w:rFonts w:cs="Calibri"/>
          <w:szCs w:val="22"/>
        </w:rPr>
        <w:t>Mathios</w:t>
      </w:r>
      <w:proofErr w:type="spellEnd"/>
      <w:r w:rsidRPr="00FF14D5">
        <w:rPr>
          <w:rFonts w:cs="Calibri"/>
          <w:szCs w:val="22"/>
        </w:rPr>
        <w:t xml:space="preserve">, A., Kang, H., &amp; Bell, D. (2006). Electronic course evaluations: Does an online delivery system influence student </w:t>
      </w:r>
      <w:proofErr w:type="gramStart"/>
      <w:r w:rsidRPr="00FF14D5">
        <w:rPr>
          <w:rFonts w:cs="Calibri"/>
          <w:szCs w:val="22"/>
        </w:rPr>
        <w:t>evaluations</w:t>
      </w:r>
      <w:proofErr w:type="gramEnd"/>
      <w:r w:rsidRPr="00FF14D5">
        <w:rPr>
          <w:rFonts w:cs="Calibri"/>
          <w:szCs w:val="22"/>
        </w:rPr>
        <w:t xml:space="preserve">? </w:t>
      </w:r>
      <w:r w:rsidRPr="00FF14D5">
        <w:rPr>
          <w:rFonts w:cs="Calibri"/>
          <w:i/>
          <w:iCs/>
          <w:szCs w:val="22"/>
        </w:rPr>
        <w:t>The Journal of Economic Education</w:t>
      </w:r>
      <w:r w:rsidRPr="00FF14D5">
        <w:rPr>
          <w:rFonts w:cs="Calibri"/>
          <w:szCs w:val="22"/>
        </w:rPr>
        <w:t>,</w:t>
      </w:r>
      <w:r w:rsidRPr="00FF14D5">
        <w:rPr>
          <w:rFonts w:cs="Calibri"/>
          <w:i/>
          <w:szCs w:val="22"/>
        </w:rPr>
        <w:t xml:space="preserve"> </w:t>
      </w:r>
      <w:r w:rsidRPr="00FF14D5">
        <w:rPr>
          <w:rFonts w:cs="Calibri"/>
          <w:i/>
          <w:iCs/>
          <w:szCs w:val="22"/>
        </w:rPr>
        <w:t>37</w:t>
      </w:r>
      <w:r w:rsidRPr="00FF14D5">
        <w:rPr>
          <w:rFonts w:cs="Calibri"/>
          <w:iCs/>
          <w:szCs w:val="22"/>
        </w:rPr>
        <w:t>(1)</w:t>
      </w:r>
      <w:r w:rsidRPr="00FF14D5">
        <w:rPr>
          <w:rFonts w:cs="Calibri"/>
          <w:szCs w:val="22"/>
        </w:rPr>
        <w:t xml:space="preserve">, 21–37. </w:t>
      </w:r>
      <w:hyperlink r:id="rId9" w:history="1">
        <w:r w:rsidRPr="00FF14D5">
          <w:rPr>
            <w:rStyle w:val="Hyperlink"/>
            <w:rFonts w:cs="Calibri"/>
            <w:szCs w:val="22"/>
          </w:rPr>
          <w:t>https://doi.org/10.3200/JECE.37.1.21-37</w:t>
        </w:r>
      </w:hyperlink>
    </w:p>
    <w:p w14:paraId="36C34004" w14:textId="77777777" w:rsidR="007930AB" w:rsidRPr="00FF14D5" w:rsidRDefault="007930AB" w:rsidP="00FF14D5">
      <w:pPr>
        <w:tabs>
          <w:tab w:val="clear" w:pos="3068"/>
          <w:tab w:val="left" w:pos="851"/>
        </w:tabs>
        <w:ind w:left="720" w:hanging="720"/>
        <w:rPr>
          <w:rFonts w:cs="Calibri"/>
          <w:szCs w:val="22"/>
        </w:rPr>
      </w:pPr>
      <w:r w:rsidRPr="00FF14D5">
        <w:rPr>
          <w:rFonts w:cs="Calibri"/>
          <w:szCs w:val="22"/>
        </w:rPr>
        <w:t xml:space="preserve">Berk, R. A. (2013). </w:t>
      </w:r>
      <w:r w:rsidRPr="00FF14D5">
        <w:rPr>
          <w:rFonts w:cs="Calibri"/>
          <w:i/>
          <w:iCs/>
          <w:szCs w:val="22"/>
        </w:rPr>
        <w:t>Top 10 flashpoints in student ratings and the evaluation of teaching</w:t>
      </w:r>
      <w:r w:rsidRPr="00FF14D5">
        <w:rPr>
          <w:rFonts w:cs="Calibri"/>
          <w:szCs w:val="22"/>
        </w:rPr>
        <w:t>. Stylus.</w:t>
      </w:r>
    </w:p>
    <w:p w14:paraId="00568884" w14:textId="5DB6FC8C" w:rsidR="007930AB" w:rsidRPr="00FF14D5" w:rsidRDefault="007930AB" w:rsidP="00FF14D5">
      <w:pPr>
        <w:tabs>
          <w:tab w:val="clear" w:pos="3068"/>
          <w:tab w:val="left" w:pos="851"/>
        </w:tabs>
        <w:ind w:left="720" w:hanging="720"/>
        <w:rPr>
          <w:rFonts w:cs="Calibri"/>
          <w:szCs w:val="22"/>
        </w:rPr>
      </w:pPr>
      <w:r w:rsidRPr="00FF14D5">
        <w:rPr>
          <w:rFonts w:cs="Calibri"/>
          <w:szCs w:val="22"/>
        </w:rPr>
        <w:t xml:space="preserve">Day, D., &amp; Wagner, J. (2014). Objects as tools for talk. In M. </w:t>
      </w:r>
      <w:proofErr w:type="spellStart"/>
      <w:r w:rsidRPr="00FF14D5">
        <w:rPr>
          <w:rFonts w:cs="Calibri"/>
          <w:szCs w:val="22"/>
        </w:rPr>
        <w:t>Nevile</w:t>
      </w:r>
      <w:proofErr w:type="spellEnd"/>
      <w:r w:rsidRPr="00FF14D5">
        <w:rPr>
          <w:rFonts w:cs="Calibri"/>
          <w:szCs w:val="22"/>
        </w:rPr>
        <w:t xml:space="preserve"> (Ed.), </w:t>
      </w:r>
      <w:r w:rsidRPr="00FF14D5">
        <w:rPr>
          <w:rFonts w:cs="Calibri"/>
          <w:i/>
          <w:iCs/>
          <w:szCs w:val="22"/>
        </w:rPr>
        <w:t>Interacting with objects: Language, materiality, and social activity</w:t>
      </w:r>
      <w:r w:rsidRPr="00FF14D5">
        <w:rPr>
          <w:rFonts w:cs="Calibri"/>
          <w:szCs w:val="22"/>
        </w:rPr>
        <w:t> (pp. 101–124). John Benjamins Publishing Company.</w:t>
      </w:r>
    </w:p>
    <w:p w14:paraId="3863248B" w14:textId="77777777" w:rsidR="007930AB" w:rsidRPr="00FF14D5" w:rsidRDefault="007930AB" w:rsidP="00FF14D5">
      <w:pPr>
        <w:tabs>
          <w:tab w:val="clear" w:pos="3068"/>
          <w:tab w:val="left" w:pos="851"/>
        </w:tabs>
        <w:ind w:left="720" w:hanging="720"/>
        <w:rPr>
          <w:rStyle w:val="Hyperlink"/>
          <w:rFonts w:cs="Calibri"/>
          <w:szCs w:val="22"/>
        </w:rPr>
      </w:pPr>
      <w:proofErr w:type="spellStart"/>
      <w:r w:rsidRPr="00FF14D5">
        <w:rPr>
          <w:rFonts w:cs="Calibri"/>
          <w:szCs w:val="22"/>
        </w:rPr>
        <w:lastRenderedPageBreak/>
        <w:t>Dommeyer</w:t>
      </w:r>
      <w:proofErr w:type="spellEnd"/>
      <w:r w:rsidRPr="00FF14D5">
        <w:rPr>
          <w:rFonts w:cs="Calibri"/>
          <w:szCs w:val="22"/>
        </w:rPr>
        <w:t xml:space="preserve">, C. J., Baum, P., Hanna, R. W., &amp; Chapman, K. S. (2004). Gathering faculty teaching evaluations by in-class and online surveys: Their effects on response rates and evaluations. </w:t>
      </w:r>
      <w:r w:rsidRPr="00FF14D5">
        <w:rPr>
          <w:rFonts w:cs="Calibri"/>
          <w:i/>
          <w:iCs/>
          <w:szCs w:val="22"/>
        </w:rPr>
        <w:t>Assessment &amp; Evaluation in Higher Education</w:t>
      </w:r>
      <w:r w:rsidRPr="00FF14D5">
        <w:rPr>
          <w:rFonts w:cs="Calibri"/>
          <w:szCs w:val="22"/>
        </w:rPr>
        <w:t xml:space="preserve">, </w:t>
      </w:r>
      <w:r w:rsidRPr="00FF14D5">
        <w:rPr>
          <w:rFonts w:cs="Calibri"/>
          <w:i/>
          <w:iCs/>
          <w:szCs w:val="22"/>
        </w:rPr>
        <w:t>29</w:t>
      </w:r>
      <w:r w:rsidRPr="00FF14D5">
        <w:rPr>
          <w:rFonts w:cs="Calibri"/>
          <w:iCs/>
          <w:szCs w:val="22"/>
        </w:rPr>
        <w:t>(5)</w:t>
      </w:r>
      <w:r w:rsidRPr="00FF14D5">
        <w:rPr>
          <w:rFonts w:cs="Calibri"/>
          <w:szCs w:val="22"/>
        </w:rPr>
        <w:t xml:space="preserve">, 611–623. </w:t>
      </w:r>
      <w:hyperlink r:id="rId10" w:history="1">
        <w:r w:rsidRPr="00FF14D5">
          <w:rPr>
            <w:rStyle w:val="Hyperlink"/>
            <w:rFonts w:cs="Calibri"/>
            <w:szCs w:val="22"/>
          </w:rPr>
          <w:t>https://doi.org/10.1080/02602930410001689171</w:t>
        </w:r>
      </w:hyperlink>
    </w:p>
    <w:p w14:paraId="798C38F4" w14:textId="77777777" w:rsidR="007930AB" w:rsidRPr="00FF14D5" w:rsidRDefault="007930AB" w:rsidP="00FF14D5">
      <w:pPr>
        <w:tabs>
          <w:tab w:val="clear" w:pos="3068"/>
          <w:tab w:val="left" w:pos="851"/>
        </w:tabs>
        <w:ind w:left="720" w:hanging="720"/>
        <w:rPr>
          <w:rStyle w:val="Hyperlink"/>
          <w:rFonts w:cs="Calibri"/>
          <w:color w:val="000000" w:themeColor="text1"/>
          <w:szCs w:val="22"/>
          <w:u w:val="none"/>
        </w:rPr>
      </w:pPr>
      <w:r w:rsidRPr="00FF14D5">
        <w:rPr>
          <w:rStyle w:val="Hyperlink"/>
          <w:rFonts w:cs="Calibri"/>
          <w:color w:val="000000" w:themeColor="text1"/>
          <w:szCs w:val="22"/>
          <w:u w:val="none"/>
        </w:rPr>
        <w:t xml:space="preserve">Early Edge California. (2021). Multilingual learning toolkit: Resources for supporting prek-3rd multilingual children. </w:t>
      </w:r>
      <w:hyperlink r:id="rId11" w:history="1">
        <w:r w:rsidRPr="00FF14D5">
          <w:rPr>
            <w:rStyle w:val="Hyperlink"/>
            <w:rFonts w:cs="Calibri"/>
            <w:szCs w:val="22"/>
          </w:rPr>
          <w:t>https://www.multilinguallearningtoolkit.org/strategies-resources/welcome-and-engage-families/</w:t>
        </w:r>
      </w:hyperlink>
    </w:p>
    <w:p w14:paraId="5B2CEA3F" w14:textId="083661C2" w:rsidR="007930AB" w:rsidRPr="00FF14D5" w:rsidRDefault="007930AB" w:rsidP="00FF14D5">
      <w:pPr>
        <w:tabs>
          <w:tab w:val="clear" w:pos="3068"/>
          <w:tab w:val="left" w:pos="851"/>
        </w:tabs>
        <w:ind w:left="720" w:hanging="720"/>
        <w:rPr>
          <w:rFonts w:cs="Calibri"/>
          <w:szCs w:val="22"/>
        </w:rPr>
      </w:pPr>
      <w:proofErr w:type="spellStart"/>
      <w:r w:rsidRPr="00FF14D5">
        <w:rPr>
          <w:rFonts w:cs="Calibri"/>
          <w:szCs w:val="22"/>
        </w:rPr>
        <w:t>Hastrup</w:t>
      </w:r>
      <w:proofErr w:type="spellEnd"/>
      <w:r w:rsidRPr="00FF14D5">
        <w:rPr>
          <w:rFonts w:cs="Calibri"/>
          <w:szCs w:val="22"/>
        </w:rPr>
        <w:t xml:space="preserve">, K. (1992). Writing ethnography: State of the art. In J. </w:t>
      </w:r>
      <w:proofErr w:type="spellStart"/>
      <w:r w:rsidRPr="00FF14D5">
        <w:rPr>
          <w:rFonts w:cs="Calibri"/>
          <w:szCs w:val="22"/>
        </w:rPr>
        <w:t>Okely</w:t>
      </w:r>
      <w:proofErr w:type="spellEnd"/>
      <w:r w:rsidRPr="00FF14D5">
        <w:rPr>
          <w:rFonts w:cs="Calibri"/>
          <w:szCs w:val="22"/>
        </w:rPr>
        <w:t xml:space="preserve"> &amp; H. Callaway (Eds.), </w:t>
      </w:r>
      <w:r w:rsidRPr="00FF14D5">
        <w:rPr>
          <w:rFonts w:cs="Calibri"/>
          <w:i/>
          <w:iCs/>
          <w:szCs w:val="22"/>
        </w:rPr>
        <w:t>Anthropology and autobiography</w:t>
      </w:r>
      <w:r w:rsidRPr="00FF14D5">
        <w:rPr>
          <w:rFonts w:cs="Calibri"/>
          <w:szCs w:val="22"/>
        </w:rPr>
        <w:t> (pp. 118–133). Routledge.</w:t>
      </w:r>
    </w:p>
    <w:p w14:paraId="3DFC8DBA" w14:textId="7CCDBD4C" w:rsidR="00FF14D5" w:rsidRPr="00FF14D5" w:rsidRDefault="00FF14D5" w:rsidP="00FF14D5">
      <w:pPr>
        <w:tabs>
          <w:tab w:val="clear" w:pos="3068"/>
          <w:tab w:val="left" w:pos="851"/>
        </w:tabs>
        <w:ind w:left="720" w:hanging="720"/>
        <w:rPr>
          <w:rFonts w:cs="Calibri"/>
          <w:color w:val="000000" w:themeColor="text1"/>
          <w:szCs w:val="22"/>
        </w:rPr>
      </w:pPr>
      <w:r w:rsidRPr="00FF14D5">
        <w:rPr>
          <w:rFonts w:cs="Calibri"/>
          <w:color w:val="000000" w:themeColor="text1"/>
          <w:szCs w:val="22"/>
        </w:rPr>
        <w:t>Hing, J. (2014, April 7). Gentrification report: Black and Latino displacement is remaking the bay area. </w:t>
      </w:r>
      <w:r w:rsidRPr="00FF14D5">
        <w:rPr>
          <w:rFonts w:cs="Calibri"/>
          <w:i/>
          <w:iCs/>
          <w:color w:val="000000" w:themeColor="text1"/>
          <w:szCs w:val="22"/>
        </w:rPr>
        <w:t>Color Lines</w:t>
      </w:r>
      <w:r w:rsidRPr="00FF14D5">
        <w:rPr>
          <w:rFonts w:cs="Calibri"/>
          <w:color w:val="000000" w:themeColor="text1"/>
          <w:szCs w:val="22"/>
        </w:rPr>
        <w:t>. </w:t>
      </w:r>
      <w:hyperlink r:id="rId12" w:tgtFrame="_blank" w:history="1">
        <w:r w:rsidRPr="00FF14D5">
          <w:rPr>
            <w:rStyle w:val="Hyperlink"/>
            <w:rFonts w:cs="Calibri"/>
            <w:szCs w:val="22"/>
          </w:rPr>
          <w:t>https://colorlines.com/article/gentrification-report-black-and-latino-displacement-remaking-bay-area</w:t>
        </w:r>
      </w:hyperlink>
    </w:p>
    <w:p w14:paraId="2F5BCF94" w14:textId="396A4725" w:rsidR="007930AB" w:rsidRPr="00FF14D5" w:rsidRDefault="007930AB" w:rsidP="00FF14D5">
      <w:pPr>
        <w:tabs>
          <w:tab w:val="clear" w:pos="3068"/>
          <w:tab w:val="left" w:pos="851"/>
        </w:tabs>
        <w:ind w:left="720" w:hanging="720"/>
        <w:rPr>
          <w:rFonts w:cs="Calibri"/>
          <w:szCs w:val="22"/>
        </w:rPr>
      </w:pPr>
      <w:r w:rsidRPr="00FF14D5">
        <w:rPr>
          <w:rFonts w:cs="Calibri"/>
          <w:szCs w:val="22"/>
        </w:rPr>
        <w:t xml:space="preserve">Meyer, B., &amp; </w:t>
      </w:r>
      <w:proofErr w:type="spellStart"/>
      <w:r w:rsidRPr="00FF14D5">
        <w:rPr>
          <w:rFonts w:cs="Calibri"/>
          <w:szCs w:val="22"/>
        </w:rPr>
        <w:t>Houtman</w:t>
      </w:r>
      <w:proofErr w:type="spellEnd"/>
      <w:r w:rsidRPr="00FF14D5">
        <w:rPr>
          <w:rFonts w:cs="Calibri"/>
          <w:szCs w:val="22"/>
        </w:rPr>
        <w:t xml:space="preserve">, D. (2012). Introduction. Material religion: How things matter. In B. Meyer &amp; D. </w:t>
      </w:r>
      <w:proofErr w:type="spellStart"/>
      <w:r w:rsidRPr="00FF14D5">
        <w:rPr>
          <w:rFonts w:cs="Calibri"/>
          <w:szCs w:val="22"/>
        </w:rPr>
        <w:t>Houtman</w:t>
      </w:r>
      <w:proofErr w:type="spellEnd"/>
      <w:r w:rsidRPr="00FF14D5">
        <w:rPr>
          <w:rFonts w:cs="Calibri"/>
          <w:szCs w:val="22"/>
        </w:rPr>
        <w:t xml:space="preserve"> (Eds.), </w:t>
      </w:r>
      <w:r w:rsidRPr="00FF14D5">
        <w:rPr>
          <w:rFonts w:cs="Calibri"/>
          <w:i/>
          <w:iCs/>
          <w:szCs w:val="22"/>
        </w:rPr>
        <w:t>Things: Religion and the question of materiality</w:t>
      </w:r>
      <w:r w:rsidRPr="00FF14D5">
        <w:rPr>
          <w:rFonts w:cs="Calibri"/>
          <w:szCs w:val="22"/>
        </w:rPr>
        <w:t> (pp. 1–23). Fordham University Press.</w:t>
      </w:r>
    </w:p>
    <w:p w14:paraId="241AEF82" w14:textId="24A47A44" w:rsidR="007930AB" w:rsidRPr="00FF14D5" w:rsidRDefault="00FF14D5" w:rsidP="00FF14D5">
      <w:pPr>
        <w:tabs>
          <w:tab w:val="clear" w:pos="3068"/>
          <w:tab w:val="left" w:pos="851"/>
        </w:tabs>
        <w:ind w:left="720" w:hanging="720"/>
        <w:rPr>
          <w:rFonts w:cs="Calibri"/>
          <w:szCs w:val="22"/>
        </w:rPr>
      </w:pPr>
      <w:r w:rsidRPr="00FF14D5">
        <w:rPr>
          <w:rFonts w:cs="Calibri"/>
          <w:szCs w:val="22"/>
        </w:rPr>
        <w:t>Pew Research Center. (2021b, May 11). Jewish Americans in 2020. </w:t>
      </w:r>
      <w:hyperlink r:id="rId13" w:tgtFrame="_blank" w:history="1">
        <w:r w:rsidRPr="00FF14D5">
          <w:rPr>
            <w:rStyle w:val="Hyperlink"/>
            <w:rFonts w:cs="Calibri"/>
            <w:szCs w:val="22"/>
          </w:rPr>
          <w:t>https://www.pewresearch.org/religion/2021/05/11/race-ethnicity-heritage-and-immigration-among-u-s-jews/</w:t>
        </w:r>
      </w:hyperlink>
    </w:p>
    <w:p w14:paraId="5F1739CC" w14:textId="6B71F8CF" w:rsidR="007930AB" w:rsidRPr="00FF14D5" w:rsidRDefault="00FF14D5" w:rsidP="00FF14D5">
      <w:pPr>
        <w:tabs>
          <w:tab w:val="clear" w:pos="3068"/>
          <w:tab w:val="left" w:pos="851"/>
        </w:tabs>
        <w:ind w:firstLine="0"/>
        <w:rPr>
          <w:rFonts w:cs="Calibri"/>
          <w:szCs w:val="22"/>
        </w:rPr>
      </w:pPr>
      <w:r w:rsidRPr="00FF14D5">
        <w:rPr>
          <w:rFonts w:cs="Calibri"/>
          <w:szCs w:val="22"/>
        </w:rPr>
        <w:t>Rogoff, B. (2003). </w:t>
      </w:r>
      <w:r w:rsidRPr="00FF14D5">
        <w:rPr>
          <w:rFonts w:cs="Calibri"/>
          <w:i/>
          <w:iCs/>
          <w:szCs w:val="22"/>
        </w:rPr>
        <w:t>The cultural nature of human development</w:t>
      </w:r>
      <w:r w:rsidRPr="00FF14D5">
        <w:rPr>
          <w:rFonts w:cs="Calibri"/>
          <w:szCs w:val="22"/>
        </w:rPr>
        <w:t>. Oxford University Press.</w:t>
      </w:r>
    </w:p>
    <w:p w14:paraId="4EDACA6C" w14:textId="1378C27D" w:rsidR="00292EE8" w:rsidRPr="00FF14D5" w:rsidRDefault="00180A27" w:rsidP="00FF14D5">
      <w:pPr>
        <w:tabs>
          <w:tab w:val="clear" w:pos="3068"/>
          <w:tab w:val="left" w:pos="851"/>
        </w:tabs>
        <w:ind w:firstLine="0"/>
        <w:rPr>
          <w:rFonts w:cs="Calibri"/>
          <w:szCs w:val="22"/>
        </w:rPr>
      </w:pPr>
      <w:r w:rsidRPr="00FF14D5">
        <w:rPr>
          <w:rFonts w:cs="Calibri"/>
          <w:szCs w:val="22"/>
        </w:rPr>
        <w:t xml:space="preserve"> </w:t>
      </w:r>
    </w:p>
    <w:p w14:paraId="154987F8" w14:textId="77777777" w:rsidR="00FF14D5" w:rsidRPr="00FF14D5" w:rsidRDefault="00FF14D5" w:rsidP="00FF14D5">
      <w:pPr>
        <w:tabs>
          <w:tab w:val="clear" w:pos="3068"/>
          <w:tab w:val="left" w:pos="851"/>
        </w:tabs>
        <w:ind w:firstLine="0"/>
        <w:rPr>
          <w:rFonts w:cs="Calibri"/>
          <w:szCs w:val="22"/>
        </w:rPr>
      </w:pPr>
    </w:p>
    <w:p w14:paraId="1B995908" w14:textId="77777777" w:rsidR="00FF14D5" w:rsidRPr="00FF14D5" w:rsidRDefault="00FF14D5" w:rsidP="00FF14D5">
      <w:pPr>
        <w:tabs>
          <w:tab w:val="clear" w:pos="3068"/>
          <w:tab w:val="left" w:pos="851"/>
        </w:tabs>
        <w:ind w:firstLine="0"/>
        <w:rPr>
          <w:rFonts w:cs="Calibri"/>
          <w:szCs w:val="22"/>
        </w:rPr>
      </w:pPr>
    </w:p>
    <w:p w14:paraId="3A945E69" w14:textId="40F1E98B" w:rsidR="00292EE8" w:rsidRPr="00FF14D5" w:rsidRDefault="00180A27" w:rsidP="00FF14D5">
      <w:pPr>
        <w:tabs>
          <w:tab w:val="clear" w:pos="3068"/>
          <w:tab w:val="left" w:pos="851"/>
        </w:tabs>
        <w:ind w:firstLine="0"/>
        <w:rPr>
          <w:rFonts w:cs="Calibri"/>
          <w:szCs w:val="22"/>
        </w:rPr>
      </w:pPr>
      <w:r w:rsidRPr="00FF14D5">
        <w:rPr>
          <w:rFonts w:cs="Calibri"/>
          <w:szCs w:val="22"/>
        </w:rPr>
        <w:t xml:space="preserve">Definitions &amp; explanations adapted from </w:t>
      </w:r>
      <w:r w:rsidR="00FF14D5" w:rsidRPr="00FF14D5">
        <w:rPr>
          <w:rFonts w:cs="Calibri"/>
          <w:szCs w:val="22"/>
        </w:rPr>
        <w:t xml:space="preserve">the </w:t>
      </w:r>
      <w:hyperlink r:id="rId14" w:anchor="Abstract" w:history="1">
        <w:r w:rsidRPr="00FF14D5">
          <w:rPr>
            <w:rStyle w:val="Hyperlink"/>
            <w:rFonts w:cs="Calibri"/>
            <w:szCs w:val="22"/>
          </w:rPr>
          <w:t>UC San Diego Department of Psychology</w:t>
        </w:r>
      </w:hyperlink>
    </w:p>
    <w:sectPr w:rsidR="00292EE8" w:rsidRPr="00FF14D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352B" w14:textId="77777777" w:rsidR="001E12B8" w:rsidRDefault="001E12B8" w:rsidP="00E102C3">
      <w:r>
        <w:separator/>
      </w:r>
    </w:p>
    <w:p w14:paraId="4F6BA21D" w14:textId="77777777" w:rsidR="001E12B8" w:rsidRDefault="001E12B8" w:rsidP="00E102C3"/>
  </w:endnote>
  <w:endnote w:type="continuationSeparator" w:id="0">
    <w:p w14:paraId="2F807DED" w14:textId="77777777" w:rsidR="001E12B8" w:rsidRDefault="001E12B8" w:rsidP="00E102C3">
      <w:r>
        <w:continuationSeparator/>
      </w:r>
    </w:p>
    <w:p w14:paraId="6F6BB480" w14:textId="77777777" w:rsidR="001E12B8" w:rsidRDefault="001E12B8"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F458" w14:textId="77777777" w:rsidR="001E12B8" w:rsidRDefault="001E12B8" w:rsidP="00E102C3">
      <w:r>
        <w:separator/>
      </w:r>
    </w:p>
    <w:p w14:paraId="349CC569" w14:textId="77777777" w:rsidR="001E12B8" w:rsidRDefault="001E12B8" w:rsidP="00E102C3"/>
  </w:footnote>
  <w:footnote w:type="continuationSeparator" w:id="0">
    <w:p w14:paraId="3A4022F6" w14:textId="77777777" w:rsidR="001E12B8" w:rsidRDefault="001E12B8" w:rsidP="00E102C3">
      <w:r>
        <w:continuationSeparator/>
      </w:r>
    </w:p>
    <w:p w14:paraId="498A0884" w14:textId="77777777" w:rsidR="001E12B8" w:rsidRDefault="001E12B8"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alibri"/>
        <w:szCs w:val="22"/>
      </w:rPr>
      <w:id w:val="824625240"/>
      <w:docPartObj>
        <w:docPartGallery w:val="Page Numbers (Top of Page)"/>
        <w:docPartUnique/>
      </w:docPartObj>
    </w:sdtPr>
    <w:sdtEndPr>
      <w:rPr>
        <w:noProof/>
      </w:rPr>
    </w:sdtEndPr>
    <w:sdtContent>
      <w:p w14:paraId="6C3849DC" w14:textId="2372C417" w:rsidR="00EC63D6" w:rsidRPr="00222A35" w:rsidRDefault="00292EE8" w:rsidP="00E102C3">
        <w:pPr>
          <w:pStyle w:val="Header"/>
          <w:ind w:firstLine="0"/>
          <w:rPr>
            <w:rFonts w:cs="Calibri"/>
            <w:szCs w:val="22"/>
          </w:rPr>
        </w:pPr>
        <w:r>
          <w:rPr>
            <w:rFonts w:cs="Calibri"/>
            <w:szCs w:val="22"/>
          </w:rPr>
          <w:tab/>
        </w:r>
        <w:r>
          <w:rPr>
            <w:rFonts w:cs="Calibri"/>
            <w:szCs w:val="22"/>
          </w:rPr>
          <w:tab/>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p>
    </w:sdtContent>
  </w:sdt>
  <w:p w14:paraId="4676793A" w14:textId="77777777"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33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1C2E"/>
    <w:rsid w:val="001263C3"/>
    <w:rsid w:val="00132939"/>
    <w:rsid w:val="00167F5B"/>
    <w:rsid w:val="0017154C"/>
    <w:rsid w:val="00180A27"/>
    <w:rsid w:val="001A6792"/>
    <w:rsid w:val="001C2344"/>
    <w:rsid w:val="001D7F11"/>
    <w:rsid w:val="001E12B8"/>
    <w:rsid w:val="001F4777"/>
    <w:rsid w:val="00203AA4"/>
    <w:rsid w:val="00213D88"/>
    <w:rsid w:val="0021772D"/>
    <w:rsid w:val="00222A35"/>
    <w:rsid w:val="00223F0B"/>
    <w:rsid w:val="002272D2"/>
    <w:rsid w:val="00236E04"/>
    <w:rsid w:val="00242554"/>
    <w:rsid w:val="002443EB"/>
    <w:rsid w:val="00290C63"/>
    <w:rsid w:val="0029125E"/>
    <w:rsid w:val="00292EE8"/>
    <w:rsid w:val="002A0CA5"/>
    <w:rsid w:val="002C18D1"/>
    <w:rsid w:val="002E4FFA"/>
    <w:rsid w:val="002F5057"/>
    <w:rsid w:val="00304AE7"/>
    <w:rsid w:val="00322A54"/>
    <w:rsid w:val="00340295"/>
    <w:rsid w:val="00342C89"/>
    <w:rsid w:val="00357698"/>
    <w:rsid w:val="003649CB"/>
    <w:rsid w:val="00365ABE"/>
    <w:rsid w:val="00365ACF"/>
    <w:rsid w:val="00374868"/>
    <w:rsid w:val="003A71C8"/>
    <w:rsid w:val="003C5C48"/>
    <w:rsid w:val="003F1DC5"/>
    <w:rsid w:val="00416392"/>
    <w:rsid w:val="004172EC"/>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50D4C"/>
    <w:rsid w:val="007617BF"/>
    <w:rsid w:val="007930AB"/>
    <w:rsid w:val="00795729"/>
    <w:rsid w:val="007B0F1C"/>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B1A67"/>
    <w:rsid w:val="009E6D26"/>
    <w:rsid w:val="009E7A57"/>
    <w:rsid w:val="00A22C7D"/>
    <w:rsid w:val="00A25CAE"/>
    <w:rsid w:val="00A36D61"/>
    <w:rsid w:val="00A376D9"/>
    <w:rsid w:val="00A66E09"/>
    <w:rsid w:val="00A80790"/>
    <w:rsid w:val="00A90808"/>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38D5"/>
    <w:rsid w:val="00C47B69"/>
    <w:rsid w:val="00C50B51"/>
    <w:rsid w:val="00C61A70"/>
    <w:rsid w:val="00C73377"/>
    <w:rsid w:val="00C76EAD"/>
    <w:rsid w:val="00C81D35"/>
    <w:rsid w:val="00CA1D68"/>
    <w:rsid w:val="00CA25BD"/>
    <w:rsid w:val="00CB2046"/>
    <w:rsid w:val="00CB32C3"/>
    <w:rsid w:val="00CC186E"/>
    <w:rsid w:val="00CC1F36"/>
    <w:rsid w:val="00CC7D0E"/>
    <w:rsid w:val="00CE40A4"/>
    <w:rsid w:val="00D23A8D"/>
    <w:rsid w:val="00D6354D"/>
    <w:rsid w:val="00D92B9C"/>
    <w:rsid w:val="00D93AC3"/>
    <w:rsid w:val="00DA462A"/>
    <w:rsid w:val="00DB2A40"/>
    <w:rsid w:val="00DC0F42"/>
    <w:rsid w:val="00DD132E"/>
    <w:rsid w:val="00DD2A01"/>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 w:val="00FF14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character" w:styleId="UnresolvedMention">
    <w:name w:val="Unresolved Mention"/>
    <w:basedOn w:val="DefaultParagraphFont"/>
    <w:uiPriority w:val="99"/>
    <w:semiHidden/>
    <w:unhideWhenUsed/>
    <w:rsid w:val="0079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 TargetMode="External"/><Relationship Id="rId13" Type="http://schemas.openxmlformats.org/officeDocument/2006/relationships/hyperlink" Target="https://www.pewresearch.org/religion/2021/05/11/race-ethnicity-heritage-and-immigration-among-u-s-j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orlines.com/article/gentrification-report-black-and-latino-displacement-remaking-bay-are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ltilinguallearningtoolkit.org/strategies-resources/welcome-and-engage-famil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80/02602930410001689171" TargetMode="External"/><Relationship Id="rId4" Type="http://schemas.openxmlformats.org/officeDocument/2006/relationships/settings" Target="settings.xml"/><Relationship Id="rId9" Type="http://schemas.openxmlformats.org/officeDocument/2006/relationships/hyperlink" Target="https://doi.org/10.3200/JECE.37.1.21-37" TargetMode="External"/><Relationship Id="rId14" Type="http://schemas.openxmlformats.org/officeDocument/2006/relationships/hyperlink" Target="https://psychology.ucsd.edu/undergraduate-program/undergraduate-resources/academic-writing-resources/writing-research-papers/research-paper-struc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2025-01-10T15:14:00Z</dcterms:created>
  <dcterms:modified xsi:type="dcterms:W3CDTF">2026-01-23T20:25:00Z</dcterms:modified>
</cp:coreProperties>
</file>